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F36D" w14:textId="77777777" w:rsidR="00594E53" w:rsidRPr="00E34E88" w:rsidRDefault="00B92639" w:rsidP="00FC4E44">
      <w:pPr>
        <w:pBdr>
          <w:top w:val="single" w:sz="4" w:space="1" w:color="auto"/>
          <w:left w:val="single" w:sz="4" w:space="4" w:color="auto"/>
          <w:bottom w:val="single" w:sz="4" w:space="1" w:color="auto"/>
          <w:right w:val="single" w:sz="4" w:space="4" w:color="auto"/>
        </w:pBdr>
        <w:jc w:val="center"/>
      </w:pPr>
      <w:r w:rsidRPr="00E34E88">
        <w:t>Avenant n°</w:t>
      </w:r>
      <w:r w:rsidR="00803362" w:rsidRPr="00E34E88">
        <w:t xml:space="preserve">3 </w:t>
      </w:r>
      <w:r w:rsidRPr="00E34E88">
        <w:t>du ____________________</w:t>
      </w:r>
      <w:bookmarkStart w:id="0" w:name="_Hlk65660481"/>
      <w:r w:rsidR="000D35D6" w:rsidRPr="00E34E88">
        <w:t>à l’accord du 13 novembre 1992 relatif aux classifications</w:t>
      </w:r>
      <w:bookmarkEnd w:id="0"/>
    </w:p>
    <w:p w14:paraId="7F3C6AF8" w14:textId="77777777" w:rsidR="00700BCA" w:rsidRPr="00E34E88" w:rsidRDefault="00700BCA"/>
    <w:p w14:paraId="4BE0AC25" w14:textId="77777777" w:rsidR="00700BCA" w:rsidRPr="00E34E88" w:rsidRDefault="00700BCA" w:rsidP="00090C5E">
      <w:pPr>
        <w:jc w:val="both"/>
      </w:pPr>
    </w:p>
    <w:p w14:paraId="0538F19E" w14:textId="77777777" w:rsidR="00FC4E44" w:rsidRPr="00E34E88" w:rsidRDefault="00700BCA" w:rsidP="00090C5E">
      <w:pPr>
        <w:jc w:val="both"/>
      </w:pPr>
      <w:r w:rsidRPr="00E34E88">
        <w:t>La grille de classification actuellement en vigueur a été mise en place par l</w:t>
      </w:r>
      <w:r w:rsidR="00FC4E44" w:rsidRPr="00E34E88">
        <w:t xml:space="preserve">’avenant n°1 du 2 novembre 2010 </w:t>
      </w:r>
      <w:r w:rsidR="000D35D6" w:rsidRPr="00E34E88">
        <w:t xml:space="preserve">à l’accord du 13 novembre 1992 relatif aux classifications </w:t>
      </w:r>
      <w:r w:rsidR="00FC4E44" w:rsidRPr="00E34E88">
        <w:t>et par l’</w:t>
      </w:r>
      <w:r w:rsidRPr="00E34E88">
        <w:t>avenant n°2 du 21 avril 2015</w:t>
      </w:r>
      <w:r w:rsidR="000D35D6" w:rsidRPr="00E34E88">
        <w:t xml:space="preserve"> relatif à la classification des postes</w:t>
      </w:r>
      <w:r w:rsidRPr="00E34E88">
        <w:t xml:space="preserve">. </w:t>
      </w:r>
    </w:p>
    <w:p w14:paraId="7499FCA2" w14:textId="77777777" w:rsidR="00FC4E44" w:rsidRPr="00E34E88" w:rsidRDefault="00FC4E44" w:rsidP="00090C5E">
      <w:pPr>
        <w:jc w:val="both"/>
      </w:pPr>
      <w:r w:rsidRPr="00E34E88">
        <w:t>Après avoir analysé la grille et les pratiques au sein de la branche, les parties ont fait le constat que le nombre de coefficients prévus dans la classification est trop important et ont décidé en conséquence de supprimer un certain nombre de ces coefficients.</w:t>
      </w:r>
    </w:p>
    <w:p w14:paraId="527DC292" w14:textId="77777777" w:rsidR="00FC4E44" w:rsidRPr="00E34E88" w:rsidRDefault="00FC4E44" w:rsidP="00090C5E">
      <w:pPr>
        <w:jc w:val="both"/>
      </w:pPr>
      <w:r w:rsidRPr="00E34E88">
        <w:t xml:space="preserve">Cette suppression a pour objectif </w:t>
      </w:r>
      <w:r w:rsidR="00E34E88" w:rsidRPr="00E34E88">
        <w:t xml:space="preserve">de mieux </w:t>
      </w:r>
      <w:r w:rsidRPr="00E34E88">
        <w:t>marqu</w:t>
      </w:r>
      <w:r w:rsidR="00E34E88" w:rsidRPr="00E34E88">
        <w:t>er</w:t>
      </w:r>
      <w:r w:rsidRPr="00E34E88">
        <w:t xml:space="preserve"> le pas de progression entre deux coefficients. </w:t>
      </w:r>
    </w:p>
    <w:p w14:paraId="3D9E2E49" w14:textId="77777777" w:rsidR="00FC4E44" w:rsidRPr="00E34E88" w:rsidRDefault="00FC4E44" w:rsidP="00090C5E">
      <w:pPr>
        <w:jc w:val="both"/>
      </w:pPr>
    </w:p>
    <w:p w14:paraId="786278CA" w14:textId="77777777" w:rsidR="00FC4E44" w:rsidRPr="00E34E88" w:rsidRDefault="00FC4E44" w:rsidP="00FC4E44">
      <w:pPr>
        <w:jc w:val="center"/>
        <w:rPr>
          <w:b/>
          <w:bCs/>
        </w:rPr>
      </w:pPr>
      <w:r w:rsidRPr="00E34E88">
        <w:rPr>
          <w:b/>
          <w:bCs/>
        </w:rPr>
        <w:t>Article 1 – Objet</w:t>
      </w:r>
    </w:p>
    <w:p w14:paraId="74C0C827" w14:textId="77777777" w:rsidR="00FC4E44" w:rsidRPr="00E34E88" w:rsidRDefault="00FC4E44" w:rsidP="003847E3">
      <w:pPr>
        <w:jc w:val="both"/>
      </w:pPr>
      <w:r w:rsidRPr="00E34E88">
        <w:t xml:space="preserve">Les parties ont identifié 9 coefficients au sein de la classification actuellement en vigueur </w:t>
      </w:r>
      <w:r w:rsidR="00625D1A" w:rsidRPr="00E34E88">
        <w:t xml:space="preserve">à </w:t>
      </w:r>
      <w:proofErr w:type="gramStart"/>
      <w:r w:rsidR="00625D1A" w:rsidRPr="00E34E88">
        <w:t>supprimer</w:t>
      </w:r>
      <w:r w:rsidRPr="00E34E88">
        <w:t>:</w:t>
      </w:r>
      <w:proofErr w:type="gramEnd"/>
      <w:r w:rsidRPr="00E34E88">
        <w:t xml:space="preserve"> </w:t>
      </w:r>
    </w:p>
    <w:tbl>
      <w:tblPr>
        <w:tblStyle w:val="Grilledutableau"/>
        <w:tblW w:w="0" w:type="auto"/>
        <w:tblLook w:val="04A0" w:firstRow="1" w:lastRow="0" w:firstColumn="1" w:lastColumn="0" w:noHBand="0" w:noVBand="1"/>
      </w:tblPr>
      <w:tblGrid>
        <w:gridCol w:w="4531"/>
        <w:gridCol w:w="4531"/>
      </w:tblGrid>
      <w:tr w:rsidR="00FC4E44" w:rsidRPr="00E34E88" w14:paraId="34B86F4D" w14:textId="77777777" w:rsidTr="00FC4E44">
        <w:tc>
          <w:tcPr>
            <w:tcW w:w="4531" w:type="dxa"/>
            <w:shd w:val="clear" w:color="auto" w:fill="0D0D0D" w:themeFill="text1" w:themeFillTint="F2"/>
          </w:tcPr>
          <w:p w14:paraId="22CB7A3A" w14:textId="77777777" w:rsidR="00FC4E44" w:rsidRPr="00E34E88" w:rsidRDefault="00FC4E44" w:rsidP="003847E3">
            <w:pPr>
              <w:jc w:val="both"/>
            </w:pPr>
            <w:r w:rsidRPr="00E34E88">
              <w:t>Catégorie</w:t>
            </w:r>
          </w:p>
        </w:tc>
        <w:tc>
          <w:tcPr>
            <w:tcW w:w="4531" w:type="dxa"/>
            <w:shd w:val="clear" w:color="auto" w:fill="0D0D0D" w:themeFill="text1" w:themeFillTint="F2"/>
          </w:tcPr>
          <w:p w14:paraId="731CD8DC" w14:textId="77777777" w:rsidR="00FC4E44" w:rsidRPr="00E34E88" w:rsidRDefault="00FC4E44" w:rsidP="003847E3">
            <w:pPr>
              <w:jc w:val="both"/>
            </w:pPr>
            <w:r w:rsidRPr="00E34E88">
              <w:t>Coefficient</w:t>
            </w:r>
          </w:p>
        </w:tc>
      </w:tr>
      <w:tr w:rsidR="00FC4E44" w:rsidRPr="00E34E88" w14:paraId="7045A933" w14:textId="77777777" w:rsidTr="00FC4E44">
        <w:tc>
          <w:tcPr>
            <w:tcW w:w="9062" w:type="dxa"/>
            <w:gridSpan w:val="2"/>
            <w:shd w:val="clear" w:color="auto" w:fill="BFBFBF" w:themeFill="background1" w:themeFillShade="BF"/>
          </w:tcPr>
          <w:p w14:paraId="2292AEB9" w14:textId="77777777" w:rsidR="00FC4E44" w:rsidRPr="00E34E88" w:rsidRDefault="00FC4E44" w:rsidP="00FC4E44">
            <w:pPr>
              <w:jc w:val="center"/>
            </w:pPr>
            <w:r w:rsidRPr="00E34E88">
              <w:t>Ouvriers et employés</w:t>
            </w:r>
          </w:p>
        </w:tc>
      </w:tr>
      <w:tr w:rsidR="00FC4E44" w:rsidRPr="00E34E88" w14:paraId="57D14287" w14:textId="77777777" w:rsidTr="00FC4E44">
        <w:tc>
          <w:tcPr>
            <w:tcW w:w="4531" w:type="dxa"/>
          </w:tcPr>
          <w:p w14:paraId="3B78F9FF" w14:textId="77777777" w:rsidR="00FC4E44" w:rsidRPr="00E34E88" w:rsidRDefault="00FC4E44" w:rsidP="003847E3">
            <w:pPr>
              <w:jc w:val="both"/>
            </w:pPr>
            <w:r w:rsidRPr="00E34E88">
              <w:t>Ouvriers</w:t>
            </w:r>
          </w:p>
        </w:tc>
        <w:tc>
          <w:tcPr>
            <w:tcW w:w="4531" w:type="dxa"/>
          </w:tcPr>
          <w:p w14:paraId="2B1B77D7" w14:textId="77777777" w:rsidR="00FC4E44" w:rsidRPr="00E34E88" w:rsidRDefault="00FC4E44" w:rsidP="003847E3">
            <w:pPr>
              <w:jc w:val="both"/>
              <w:rPr>
                <w:b/>
                <w:bCs/>
              </w:rPr>
            </w:pPr>
            <w:r w:rsidRPr="00E34E88">
              <w:rPr>
                <w:b/>
                <w:bCs/>
              </w:rPr>
              <w:t>165</w:t>
            </w:r>
          </w:p>
        </w:tc>
      </w:tr>
      <w:tr w:rsidR="00FC4E44" w:rsidRPr="00E34E88" w14:paraId="0A674025" w14:textId="77777777" w:rsidTr="00FC4E44">
        <w:tc>
          <w:tcPr>
            <w:tcW w:w="4531" w:type="dxa"/>
          </w:tcPr>
          <w:p w14:paraId="11F22391" w14:textId="77777777" w:rsidR="00FC4E44" w:rsidRPr="00E34E88" w:rsidRDefault="00FC4E44" w:rsidP="003847E3">
            <w:pPr>
              <w:jc w:val="both"/>
            </w:pPr>
            <w:r w:rsidRPr="00E34E88">
              <w:t>Ouvriers</w:t>
            </w:r>
          </w:p>
        </w:tc>
        <w:tc>
          <w:tcPr>
            <w:tcW w:w="4531" w:type="dxa"/>
          </w:tcPr>
          <w:p w14:paraId="114B2215" w14:textId="77777777" w:rsidR="00FC4E44" w:rsidRPr="00E34E88" w:rsidRDefault="00FC4E44" w:rsidP="003847E3">
            <w:pPr>
              <w:jc w:val="both"/>
              <w:rPr>
                <w:b/>
                <w:bCs/>
              </w:rPr>
            </w:pPr>
            <w:r w:rsidRPr="00E34E88">
              <w:rPr>
                <w:b/>
                <w:bCs/>
              </w:rPr>
              <w:t>185</w:t>
            </w:r>
          </w:p>
        </w:tc>
      </w:tr>
      <w:tr w:rsidR="00FC4E44" w:rsidRPr="00E34E88" w14:paraId="4B3DD669" w14:textId="77777777" w:rsidTr="00FC4E44">
        <w:tc>
          <w:tcPr>
            <w:tcW w:w="4531" w:type="dxa"/>
          </w:tcPr>
          <w:p w14:paraId="36148DFB" w14:textId="77777777" w:rsidR="00FC4E44" w:rsidRPr="00E34E88" w:rsidRDefault="00FC4E44" w:rsidP="003847E3">
            <w:pPr>
              <w:jc w:val="both"/>
            </w:pPr>
            <w:r w:rsidRPr="00E34E88">
              <w:t>Employés</w:t>
            </w:r>
          </w:p>
        </w:tc>
        <w:tc>
          <w:tcPr>
            <w:tcW w:w="4531" w:type="dxa"/>
          </w:tcPr>
          <w:p w14:paraId="4D97950C" w14:textId="77777777" w:rsidR="00FC4E44" w:rsidRPr="00E34E88" w:rsidRDefault="00FC4E44" w:rsidP="003847E3">
            <w:pPr>
              <w:jc w:val="both"/>
              <w:rPr>
                <w:b/>
                <w:bCs/>
              </w:rPr>
            </w:pPr>
            <w:r w:rsidRPr="00E34E88">
              <w:rPr>
                <w:b/>
                <w:bCs/>
              </w:rPr>
              <w:t>165</w:t>
            </w:r>
          </w:p>
        </w:tc>
      </w:tr>
      <w:tr w:rsidR="00FC4E44" w:rsidRPr="00E34E88" w14:paraId="428E90C2" w14:textId="77777777" w:rsidTr="00FC4E44">
        <w:tc>
          <w:tcPr>
            <w:tcW w:w="4531" w:type="dxa"/>
          </w:tcPr>
          <w:p w14:paraId="1E5746F3" w14:textId="77777777" w:rsidR="00FC4E44" w:rsidRPr="00E34E88" w:rsidRDefault="00FC4E44" w:rsidP="003847E3">
            <w:pPr>
              <w:jc w:val="both"/>
            </w:pPr>
            <w:r w:rsidRPr="00E34E88">
              <w:t>Employés</w:t>
            </w:r>
          </w:p>
        </w:tc>
        <w:tc>
          <w:tcPr>
            <w:tcW w:w="4531" w:type="dxa"/>
          </w:tcPr>
          <w:p w14:paraId="154992B9" w14:textId="77777777" w:rsidR="00FC4E44" w:rsidRPr="00E34E88" w:rsidRDefault="00FC4E44" w:rsidP="003847E3">
            <w:pPr>
              <w:jc w:val="both"/>
              <w:rPr>
                <w:b/>
                <w:bCs/>
              </w:rPr>
            </w:pPr>
            <w:r w:rsidRPr="00E34E88">
              <w:rPr>
                <w:b/>
                <w:bCs/>
              </w:rPr>
              <w:t>185</w:t>
            </w:r>
          </w:p>
        </w:tc>
      </w:tr>
      <w:tr w:rsidR="00FC4E44" w:rsidRPr="00E34E88" w14:paraId="2497E13B" w14:textId="77777777" w:rsidTr="00FC4E44">
        <w:tc>
          <w:tcPr>
            <w:tcW w:w="9062" w:type="dxa"/>
            <w:gridSpan w:val="2"/>
            <w:shd w:val="clear" w:color="auto" w:fill="BFBFBF" w:themeFill="background1" w:themeFillShade="BF"/>
          </w:tcPr>
          <w:p w14:paraId="72543C3D" w14:textId="77777777" w:rsidR="00FC4E44" w:rsidRPr="00E34E88" w:rsidRDefault="00FC4E44" w:rsidP="00FC4E44">
            <w:pPr>
              <w:jc w:val="center"/>
            </w:pPr>
            <w:r w:rsidRPr="00E34E88">
              <w:t>Techniciens et agents de maîtrise</w:t>
            </w:r>
          </w:p>
        </w:tc>
      </w:tr>
      <w:tr w:rsidR="00FC4E44" w:rsidRPr="00E34E88" w14:paraId="0DA3B65A" w14:textId="77777777" w:rsidTr="00FC4E44">
        <w:tc>
          <w:tcPr>
            <w:tcW w:w="4531" w:type="dxa"/>
          </w:tcPr>
          <w:p w14:paraId="71A84BA7" w14:textId="77777777" w:rsidR="00FC4E44" w:rsidRPr="00E34E88" w:rsidRDefault="00FC4E44" w:rsidP="003847E3">
            <w:pPr>
              <w:jc w:val="both"/>
            </w:pPr>
            <w:r w:rsidRPr="00E34E88">
              <w:t>Maîtrise</w:t>
            </w:r>
          </w:p>
        </w:tc>
        <w:tc>
          <w:tcPr>
            <w:tcW w:w="4531" w:type="dxa"/>
          </w:tcPr>
          <w:p w14:paraId="606B40D9" w14:textId="77777777" w:rsidR="00FC4E44" w:rsidRPr="00E34E88" w:rsidRDefault="00FC4E44" w:rsidP="003847E3">
            <w:pPr>
              <w:jc w:val="both"/>
              <w:rPr>
                <w:b/>
                <w:bCs/>
              </w:rPr>
            </w:pPr>
            <w:r w:rsidRPr="00E34E88">
              <w:rPr>
                <w:b/>
                <w:bCs/>
              </w:rPr>
              <w:t>215</w:t>
            </w:r>
          </w:p>
        </w:tc>
      </w:tr>
      <w:tr w:rsidR="00FC4E44" w:rsidRPr="00E34E88" w14:paraId="584CB508" w14:textId="77777777" w:rsidTr="00FC4E44">
        <w:tc>
          <w:tcPr>
            <w:tcW w:w="4531" w:type="dxa"/>
          </w:tcPr>
          <w:p w14:paraId="5C97554A" w14:textId="77777777" w:rsidR="00FC4E44" w:rsidRPr="00E34E88" w:rsidRDefault="00FC4E44" w:rsidP="003847E3">
            <w:pPr>
              <w:jc w:val="both"/>
            </w:pPr>
            <w:r w:rsidRPr="00E34E88">
              <w:t>Maîtrise</w:t>
            </w:r>
          </w:p>
        </w:tc>
        <w:tc>
          <w:tcPr>
            <w:tcW w:w="4531" w:type="dxa"/>
          </w:tcPr>
          <w:p w14:paraId="34AFD35F" w14:textId="77777777" w:rsidR="00FC4E44" w:rsidRPr="00E34E88" w:rsidRDefault="00FC4E44" w:rsidP="003847E3">
            <w:pPr>
              <w:jc w:val="both"/>
              <w:rPr>
                <w:b/>
                <w:bCs/>
              </w:rPr>
            </w:pPr>
            <w:r w:rsidRPr="00E34E88">
              <w:rPr>
                <w:b/>
                <w:bCs/>
              </w:rPr>
              <w:t>255</w:t>
            </w:r>
          </w:p>
        </w:tc>
      </w:tr>
      <w:tr w:rsidR="00FC4E44" w:rsidRPr="00E34E88" w14:paraId="5EB277D9" w14:textId="77777777" w:rsidTr="00FC4E44">
        <w:tc>
          <w:tcPr>
            <w:tcW w:w="4531" w:type="dxa"/>
          </w:tcPr>
          <w:p w14:paraId="11C9E5BA" w14:textId="77777777" w:rsidR="00FC4E44" w:rsidRPr="00E34E88" w:rsidRDefault="00FC4E44" w:rsidP="003847E3">
            <w:pPr>
              <w:jc w:val="both"/>
            </w:pPr>
            <w:r w:rsidRPr="00E34E88">
              <w:t>Maîtrise</w:t>
            </w:r>
          </w:p>
        </w:tc>
        <w:tc>
          <w:tcPr>
            <w:tcW w:w="4531" w:type="dxa"/>
          </w:tcPr>
          <w:p w14:paraId="097EC0AE" w14:textId="77777777" w:rsidR="00FC4E44" w:rsidRPr="00E34E88" w:rsidRDefault="00FC4E44" w:rsidP="003847E3">
            <w:pPr>
              <w:jc w:val="both"/>
              <w:rPr>
                <w:b/>
                <w:bCs/>
              </w:rPr>
            </w:pPr>
            <w:r w:rsidRPr="00E34E88">
              <w:rPr>
                <w:b/>
                <w:bCs/>
              </w:rPr>
              <w:t>285</w:t>
            </w:r>
          </w:p>
        </w:tc>
      </w:tr>
      <w:tr w:rsidR="00FC4E44" w:rsidRPr="00E34E88" w14:paraId="5EED54F7" w14:textId="77777777" w:rsidTr="00FC4E44">
        <w:tc>
          <w:tcPr>
            <w:tcW w:w="4531" w:type="dxa"/>
          </w:tcPr>
          <w:p w14:paraId="7FACB936" w14:textId="77777777" w:rsidR="00FC4E44" w:rsidRPr="00E34E88" w:rsidRDefault="00FC4E44" w:rsidP="003847E3">
            <w:pPr>
              <w:jc w:val="both"/>
            </w:pPr>
            <w:r w:rsidRPr="00E34E88">
              <w:t>Maîtrise</w:t>
            </w:r>
          </w:p>
        </w:tc>
        <w:tc>
          <w:tcPr>
            <w:tcW w:w="4531" w:type="dxa"/>
          </w:tcPr>
          <w:p w14:paraId="204A56B6" w14:textId="77777777" w:rsidR="00FC4E44" w:rsidRPr="00E34E88" w:rsidRDefault="00FC4E44" w:rsidP="003847E3">
            <w:pPr>
              <w:jc w:val="both"/>
              <w:rPr>
                <w:b/>
                <w:bCs/>
              </w:rPr>
            </w:pPr>
            <w:r w:rsidRPr="00E34E88">
              <w:rPr>
                <w:b/>
                <w:bCs/>
              </w:rPr>
              <w:t>325</w:t>
            </w:r>
          </w:p>
        </w:tc>
      </w:tr>
      <w:tr w:rsidR="00FC4E44" w:rsidRPr="00E34E88" w14:paraId="4E5A905B" w14:textId="77777777" w:rsidTr="00FC4E44">
        <w:tc>
          <w:tcPr>
            <w:tcW w:w="9062" w:type="dxa"/>
            <w:gridSpan w:val="2"/>
            <w:shd w:val="clear" w:color="auto" w:fill="BFBFBF" w:themeFill="background1" w:themeFillShade="BF"/>
          </w:tcPr>
          <w:p w14:paraId="51E16132" w14:textId="77777777" w:rsidR="00FC4E44" w:rsidRPr="00E34E88" w:rsidRDefault="00FC4E44" w:rsidP="00FC4E44">
            <w:pPr>
              <w:jc w:val="center"/>
            </w:pPr>
            <w:r w:rsidRPr="00E34E88">
              <w:t>Cadres</w:t>
            </w:r>
          </w:p>
        </w:tc>
      </w:tr>
      <w:tr w:rsidR="00FC4E44" w:rsidRPr="00E34E88" w14:paraId="31B2800D" w14:textId="77777777" w:rsidTr="00FC4E44">
        <w:tc>
          <w:tcPr>
            <w:tcW w:w="4531" w:type="dxa"/>
          </w:tcPr>
          <w:p w14:paraId="0360E10F" w14:textId="77777777" w:rsidR="00FC4E44" w:rsidRPr="00E34E88" w:rsidRDefault="00FC4E44" w:rsidP="003847E3">
            <w:pPr>
              <w:jc w:val="both"/>
            </w:pPr>
            <w:r w:rsidRPr="00E34E88">
              <w:t>Cadres</w:t>
            </w:r>
          </w:p>
        </w:tc>
        <w:tc>
          <w:tcPr>
            <w:tcW w:w="4531" w:type="dxa"/>
          </w:tcPr>
          <w:p w14:paraId="36A6A270" w14:textId="77777777" w:rsidR="00FC4E44" w:rsidRPr="00E34E88" w:rsidRDefault="00FC4E44" w:rsidP="003847E3">
            <w:pPr>
              <w:jc w:val="both"/>
              <w:rPr>
                <w:b/>
                <w:bCs/>
              </w:rPr>
            </w:pPr>
            <w:r w:rsidRPr="00E34E88">
              <w:rPr>
                <w:b/>
                <w:bCs/>
              </w:rPr>
              <w:t>455</w:t>
            </w:r>
          </w:p>
        </w:tc>
      </w:tr>
    </w:tbl>
    <w:p w14:paraId="27E732A3" w14:textId="77777777" w:rsidR="00FC4E44" w:rsidRPr="00E34E88" w:rsidRDefault="00FC4E44" w:rsidP="003847E3">
      <w:pPr>
        <w:jc w:val="both"/>
      </w:pPr>
    </w:p>
    <w:p w14:paraId="6B8E6EBB" w14:textId="77777777" w:rsidR="00FC4E44" w:rsidRPr="00E34E88" w:rsidRDefault="00FC4E44" w:rsidP="003847E3">
      <w:pPr>
        <w:jc w:val="both"/>
      </w:pPr>
      <w:r w:rsidRPr="00E34E88">
        <w:t xml:space="preserve">Les parties conviennent donc de supprimer ces coefficients et de modifier en conséquence la grille de classification issue des avenants n°1 du 2 novembre 2010 et n°2 du 21 avril 2015. </w:t>
      </w:r>
    </w:p>
    <w:p w14:paraId="523ADBC4" w14:textId="77777777" w:rsidR="00FC4E44" w:rsidRPr="00E34E88" w:rsidRDefault="00FC4E44" w:rsidP="003847E3">
      <w:pPr>
        <w:jc w:val="both"/>
      </w:pPr>
      <w:r w:rsidRPr="00E34E88">
        <w:t xml:space="preserve">Les autres coefficients de la grille de classification telle qu’issue de ces avenants, non-supprimés par le présent avenant, demeurent inchangés et restent applicables. </w:t>
      </w:r>
    </w:p>
    <w:p w14:paraId="370DD455" w14:textId="77777777" w:rsidR="00FC4E44" w:rsidRPr="00E34E88" w:rsidRDefault="00FC4E44" w:rsidP="003847E3">
      <w:pPr>
        <w:jc w:val="both"/>
      </w:pPr>
    </w:p>
    <w:p w14:paraId="28978A76" w14:textId="77777777" w:rsidR="00FC4E44" w:rsidRPr="00E34E88" w:rsidRDefault="00FC4E44" w:rsidP="00FC4E44">
      <w:pPr>
        <w:jc w:val="center"/>
        <w:rPr>
          <w:b/>
          <w:bCs/>
        </w:rPr>
      </w:pPr>
      <w:r w:rsidRPr="00E34E88">
        <w:rPr>
          <w:b/>
          <w:bCs/>
        </w:rPr>
        <w:t>Article 2 – Champ d’application</w:t>
      </w:r>
    </w:p>
    <w:p w14:paraId="58A79294" w14:textId="77777777" w:rsidR="00FC4E44" w:rsidRPr="00E34E88" w:rsidRDefault="00FC4E44" w:rsidP="003847E3">
      <w:pPr>
        <w:jc w:val="both"/>
      </w:pPr>
      <w:r w:rsidRPr="00E34E88">
        <w:t>Le présent avenant s’applique à l’ensemble des entreprises entrant dans le champ d’application de la Convention collective de branche des exploitations frigorifiques</w:t>
      </w:r>
      <w:r w:rsidR="000D35D6" w:rsidRPr="00E34E88">
        <w:t>, y compris les entreprises de moins de 50 salariés</w:t>
      </w:r>
      <w:r w:rsidRPr="00E34E88">
        <w:t>.</w:t>
      </w:r>
      <w:r w:rsidR="000D35D6" w:rsidRPr="00E34E88">
        <w:t xml:space="preserve"> Pour ces dernières entreprises, le présent avenant ne contient pas de dispositions spécifiques que les parties n’estiment pas nécessaires, la grille de classification étant commune à toutes les entreprises de la branche quel que soit leur effectif et les suppressions </w:t>
      </w:r>
      <w:r w:rsidR="003972D3" w:rsidRPr="00E34E88">
        <w:t xml:space="preserve">convenues </w:t>
      </w:r>
      <w:r w:rsidR="000D35D6" w:rsidRPr="00E34E88">
        <w:t xml:space="preserve">n’entraînant pas de modalités de mise en œuvre propres aux entreprises de moins de 50 salariés. </w:t>
      </w:r>
      <w:r w:rsidRPr="00E34E88">
        <w:t xml:space="preserve"> </w:t>
      </w:r>
    </w:p>
    <w:p w14:paraId="2FAF1D12" w14:textId="77777777" w:rsidR="00FC4E44" w:rsidRPr="00E34E88" w:rsidRDefault="00FC4E44" w:rsidP="003847E3">
      <w:pPr>
        <w:jc w:val="both"/>
      </w:pPr>
      <w:r w:rsidRPr="00E34E88">
        <w:lastRenderedPageBreak/>
        <w:t xml:space="preserve">Les </w:t>
      </w:r>
      <w:r w:rsidR="00C800D4" w:rsidRPr="00E34E88">
        <w:t xml:space="preserve">suppressions de coefficients résultant du présent avenant et les conséquences qu’elles impliquent </w:t>
      </w:r>
      <w:r w:rsidRPr="00E34E88">
        <w:t>s’appliqueront à tous les salariés des entreprises entrant dans ce champ d’application</w:t>
      </w:r>
      <w:r w:rsidR="00C800D4" w:rsidRPr="00E34E88">
        <w:t xml:space="preserve"> concernés par ces suppressions, indépendamment de tout motif de discrimination (sexe, origine, âge, handicap etc.) et dans le respect du principe d’égalité de traitement et notamment d’égalité entre les femmes et les hommes</w:t>
      </w:r>
      <w:r w:rsidR="003972D3" w:rsidRPr="00E34E88">
        <w:t>)</w:t>
      </w:r>
      <w:r w:rsidRPr="00E34E88">
        <w:t>.</w:t>
      </w:r>
    </w:p>
    <w:p w14:paraId="6BFB0531" w14:textId="77777777" w:rsidR="00FC4E44" w:rsidRPr="00E34E88" w:rsidRDefault="00FC4E44" w:rsidP="003847E3">
      <w:pPr>
        <w:jc w:val="both"/>
      </w:pPr>
    </w:p>
    <w:p w14:paraId="180317D9" w14:textId="77777777" w:rsidR="00FC4E44" w:rsidRPr="00E34E88" w:rsidRDefault="00FC4E44" w:rsidP="00FC4E44">
      <w:pPr>
        <w:jc w:val="center"/>
        <w:rPr>
          <w:b/>
          <w:bCs/>
        </w:rPr>
      </w:pPr>
      <w:r w:rsidRPr="00E34E88">
        <w:rPr>
          <w:b/>
          <w:bCs/>
        </w:rPr>
        <w:t>Article 3 – Mise en œuvre et conséquences des suppressions</w:t>
      </w:r>
    </w:p>
    <w:p w14:paraId="49B69ACD" w14:textId="77777777" w:rsidR="00FC4E44" w:rsidRPr="00E34E88" w:rsidRDefault="00FC4E44" w:rsidP="003847E3">
      <w:pPr>
        <w:jc w:val="both"/>
      </w:pPr>
      <w:r w:rsidRPr="00E34E88">
        <w:t xml:space="preserve">La mise en application du présent avenant sera effective au plus tard le </w:t>
      </w:r>
      <w:r w:rsidR="00625D1A" w:rsidRPr="00E34E88">
        <w:t>1</w:t>
      </w:r>
      <w:r w:rsidR="00625D1A" w:rsidRPr="00E34E88">
        <w:rPr>
          <w:vertAlign w:val="superscript"/>
        </w:rPr>
        <w:t>er</w:t>
      </w:r>
      <w:r w:rsidR="00625D1A" w:rsidRPr="00E34E88">
        <w:t xml:space="preserve"> juillet 2021</w:t>
      </w:r>
      <w:r w:rsidRPr="00E34E88">
        <w:t>.</w:t>
      </w:r>
    </w:p>
    <w:p w14:paraId="7D5D826F" w14:textId="77777777" w:rsidR="00C800D4" w:rsidRPr="00E34E88" w:rsidRDefault="00FC4E44" w:rsidP="003847E3">
      <w:pPr>
        <w:jc w:val="both"/>
      </w:pPr>
      <w:r w:rsidRPr="00E34E88">
        <w:t xml:space="preserve">Elle sera concomitante pour les personnels en place et les nouveaux embauchés. </w:t>
      </w:r>
    </w:p>
    <w:p w14:paraId="0761E5F9" w14:textId="77777777" w:rsidR="00FC4E44" w:rsidRPr="00E34E88" w:rsidRDefault="00FC4E44" w:rsidP="003847E3">
      <w:pPr>
        <w:jc w:val="both"/>
      </w:pPr>
    </w:p>
    <w:p w14:paraId="51C0287E" w14:textId="77777777" w:rsidR="00FC4E44" w:rsidRPr="00E34E88" w:rsidRDefault="00FC4E44" w:rsidP="003847E3">
      <w:pPr>
        <w:jc w:val="both"/>
      </w:pPr>
      <w:r w:rsidRPr="00E34E88">
        <w:rPr>
          <w:b/>
          <w:bCs/>
        </w:rPr>
        <w:t>3.1.</w:t>
      </w:r>
      <w:r w:rsidRPr="00E34E88">
        <w:t xml:space="preserve"> </w:t>
      </w:r>
      <w:r w:rsidRPr="00E34E88">
        <w:tab/>
        <w:t>Les salariés actuellement classés aux coefficients supprimés seront, du fait de cette suppression, classés automatiquement au coefficient supérieur venant juste au-dessus du leur :</w:t>
      </w:r>
    </w:p>
    <w:tbl>
      <w:tblPr>
        <w:tblStyle w:val="Grilledutableau"/>
        <w:tblW w:w="0" w:type="auto"/>
        <w:tblLook w:val="04A0" w:firstRow="1" w:lastRow="0" w:firstColumn="1" w:lastColumn="0" w:noHBand="0" w:noVBand="1"/>
      </w:tblPr>
      <w:tblGrid>
        <w:gridCol w:w="4531"/>
        <w:gridCol w:w="4531"/>
      </w:tblGrid>
      <w:tr w:rsidR="00FC4E44" w:rsidRPr="00E34E88" w14:paraId="49C9FA9C" w14:textId="77777777" w:rsidTr="00FC4E44">
        <w:tc>
          <w:tcPr>
            <w:tcW w:w="4531" w:type="dxa"/>
            <w:shd w:val="clear" w:color="auto" w:fill="0D0D0D" w:themeFill="text1" w:themeFillTint="F2"/>
          </w:tcPr>
          <w:p w14:paraId="53DE5BF7" w14:textId="77777777" w:rsidR="00FC4E44" w:rsidRPr="00E34E88" w:rsidRDefault="00FC4E44" w:rsidP="003847E3">
            <w:pPr>
              <w:jc w:val="both"/>
            </w:pPr>
            <w:r w:rsidRPr="00E34E88">
              <w:t>Ancien coefficient</w:t>
            </w:r>
          </w:p>
        </w:tc>
        <w:tc>
          <w:tcPr>
            <w:tcW w:w="4531" w:type="dxa"/>
            <w:shd w:val="clear" w:color="auto" w:fill="0D0D0D" w:themeFill="text1" w:themeFillTint="F2"/>
          </w:tcPr>
          <w:p w14:paraId="147AE5AE" w14:textId="77777777" w:rsidR="00FC4E44" w:rsidRPr="00E34E88" w:rsidRDefault="00FC4E44" w:rsidP="003847E3">
            <w:pPr>
              <w:jc w:val="both"/>
            </w:pPr>
            <w:r w:rsidRPr="00E34E88">
              <w:t>Nouveau coefficient</w:t>
            </w:r>
          </w:p>
        </w:tc>
      </w:tr>
      <w:tr w:rsidR="00FC4E44" w:rsidRPr="00E34E88" w14:paraId="7750C9F1" w14:textId="77777777" w:rsidTr="00FC4E44">
        <w:tc>
          <w:tcPr>
            <w:tcW w:w="4531" w:type="dxa"/>
          </w:tcPr>
          <w:p w14:paraId="64A00790" w14:textId="77777777" w:rsidR="00FC4E44" w:rsidRPr="00E34E88" w:rsidRDefault="00FC4E44" w:rsidP="003847E3">
            <w:pPr>
              <w:jc w:val="both"/>
            </w:pPr>
            <w:r w:rsidRPr="00E34E88">
              <w:t>Ouvriers – coefficient 165</w:t>
            </w:r>
          </w:p>
        </w:tc>
        <w:tc>
          <w:tcPr>
            <w:tcW w:w="4531" w:type="dxa"/>
            <w:shd w:val="clear" w:color="auto" w:fill="FFFFFF" w:themeFill="background1"/>
          </w:tcPr>
          <w:p w14:paraId="6A4F17CC" w14:textId="77777777" w:rsidR="00FC4E44" w:rsidRPr="00E34E88" w:rsidRDefault="00FC4E44" w:rsidP="003847E3">
            <w:pPr>
              <w:jc w:val="both"/>
              <w:rPr>
                <w:b/>
                <w:bCs/>
              </w:rPr>
            </w:pPr>
            <w:r w:rsidRPr="00E34E88">
              <w:rPr>
                <w:b/>
                <w:bCs/>
              </w:rPr>
              <w:t>Ouvriers – coefficient 1</w:t>
            </w:r>
            <w:r w:rsidR="00625D1A" w:rsidRPr="00E34E88">
              <w:rPr>
                <w:b/>
                <w:bCs/>
              </w:rPr>
              <w:t>7</w:t>
            </w:r>
            <w:r w:rsidRPr="00E34E88">
              <w:rPr>
                <w:b/>
                <w:bCs/>
              </w:rPr>
              <w:t>5</w:t>
            </w:r>
          </w:p>
        </w:tc>
      </w:tr>
      <w:tr w:rsidR="00FC4E44" w:rsidRPr="00E34E88" w14:paraId="286A3E46" w14:textId="77777777" w:rsidTr="00FC4E44">
        <w:tc>
          <w:tcPr>
            <w:tcW w:w="4531" w:type="dxa"/>
          </w:tcPr>
          <w:p w14:paraId="716024C6" w14:textId="77777777" w:rsidR="00FC4E44" w:rsidRPr="00E34E88" w:rsidRDefault="00FC4E44" w:rsidP="003847E3">
            <w:pPr>
              <w:jc w:val="both"/>
            </w:pPr>
            <w:r w:rsidRPr="00E34E88">
              <w:t>Ouvriers – coefficient 185</w:t>
            </w:r>
          </w:p>
        </w:tc>
        <w:tc>
          <w:tcPr>
            <w:tcW w:w="4531" w:type="dxa"/>
            <w:shd w:val="clear" w:color="auto" w:fill="FFFFFF" w:themeFill="background1"/>
          </w:tcPr>
          <w:p w14:paraId="106FB472" w14:textId="77777777" w:rsidR="00FC4E44" w:rsidRPr="00E34E88" w:rsidRDefault="00FC4E44" w:rsidP="003847E3">
            <w:pPr>
              <w:jc w:val="both"/>
              <w:rPr>
                <w:b/>
                <w:bCs/>
              </w:rPr>
            </w:pPr>
            <w:r w:rsidRPr="00E34E88">
              <w:rPr>
                <w:b/>
                <w:bCs/>
              </w:rPr>
              <w:t>Ouvriers – coefficient 195</w:t>
            </w:r>
          </w:p>
        </w:tc>
      </w:tr>
      <w:tr w:rsidR="00FC4E44" w:rsidRPr="00E34E88" w14:paraId="4066EB18" w14:textId="77777777" w:rsidTr="00FC4E44">
        <w:tc>
          <w:tcPr>
            <w:tcW w:w="4531" w:type="dxa"/>
          </w:tcPr>
          <w:p w14:paraId="0EE3DA80" w14:textId="77777777" w:rsidR="00FC4E44" w:rsidRPr="00E34E88" w:rsidRDefault="00FC4E44" w:rsidP="003847E3">
            <w:pPr>
              <w:jc w:val="both"/>
            </w:pPr>
            <w:r w:rsidRPr="00E34E88">
              <w:t>Employés – coefficient 165</w:t>
            </w:r>
          </w:p>
        </w:tc>
        <w:tc>
          <w:tcPr>
            <w:tcW w:w="4531" w:type="dxa"/>
            <w:shd w:val="clear" w:color="auto" w:fill="FFFFFF" w:themeFill="background1"/>
          </w:tcPr>
          <w:p w14:paraId="56421686" w14:textId="77777777" w:rsidR="00FC4E44" w:rsidRPr="00E34E88" w:rsidRDefault="00FC4E44" w:rsidP="003847E3">
            <w:pPr>
              <w:jc w:val="both"/>
              <w:rPr>
                <w:b/>
                <w:bCs/>
              </w:rPr>
            </w:pPr>
            <w:r w:rsidRPr="00E34E88">
              <w:rPr>
                <w:b/>
                <w:bCs/>
              </w:rPr>
              <w:t>Employés – coefficient 1</w:t>
            </w:r>
            <w:r w:rsidR="00625D1A" w:rsidRPr="00E34E88">
              <w:rPr>
                <w:b/>
                <w:bCs/>
              </w:rPr>
              <w:t>7</w:t>
            </w:r>
            <w:r w:rsidRPr="00E34E88">
              <w:rPr>
                <w:b/>
                <w:bCs/>
              </w:rPr>
              <w:t>5</w:t>
            </w:r>
          </w:p>
        </w:tc>
      </w:tr>
      <w:tr w:rsidR="00FC4E44" w:rsidRPr="00E34E88" w14:paraId="6FECCE58" w14:textId="77777777" w:rsidTr="00FC4E44">
        <w:tc>
          <w:tcPr>
            <w:tcW w:w="4531" w:type="dxa"/>
          </w:tcPr>
          <w:p w14:paraId="4755DE72" w14:textId="77777777" w:rsidR="00FC4E44" w:rsidRPr="00E34E88" w:rsidRDefault="00FC4E44" w:rsidP="003847E3">
            <w:pPr>
              <w:jc w:val="both"/>
            </w:pPr>
            <w:r w:rsidRPr="00E34E88">
              <w:t>Employés – coefficient 185</w:t>
            </w:r>
          </w:p>
        </w:tc>
        <w:tc>
          <w:tcPr>
            <w:tcW w:w="4531" w:type="dxa"/>
            <w:shd w:val="clear" w:color="auto" w:fill="FFFFFF" w:themeFill="background1"/>
          </w:tcPr>
          <w:p w14:paraId="44439661" w14:textId="77777777" w:rsidR="00FC4E44" w:rsidRPr="00E34E88" w:rsidRDefault="00FC4E44" w:rsidP="003847E3">
            <w:pPr>
              <w:jc w:val="both"/>
              <w:rPr>
                <w:b/>
                <w:bCs/>
              </w:rPr>
            </w:pPr>
            <w:r w:rsidRPr="00E34E88">
              <w:rPr>
                <w:b/>
                <w:bCs/>
              </w:rPr>
              <w:t>Employés – coefficient 195</w:t>
            </w:r>
          </w:p>
        </w:tc>
      </w:tr>
      <w:tr w:rsidR="00FC4E44" w:rsidRPr="00E34E88" w14:paraId="509AEE4C" w14:textId="77777777" w:rsidTr="00FC4E44">
        <w:tc>
          <w:tcPr>
            <w:tcW w:w="4531" w:type="dxa"/>
          </w:tcPr>
          <w:p w14:paraId="6AB4EE44" w14:textId="77777777" w:rsidR="00FC4E44" w:rsidRPr="00E34E88" w:rsidRDefault="00FC4E44" w:rsidP="003847E3">
            <w:pPr>
              <w:jc w:val="both"/>
            </w:pPr>
            <w:r w:rsidRPr="00E34E88">
              <w:t>Maîtrise – coefficient 215</w:t>
            </w:r>
          </w:p>
        </w:tc>
        <w:tc>
          <w:tcPr>
            <w:tcW w:w="4531" w:type="dxa"/>
            <w:shd w:val="clear" w:color="auto" w:fill="FFFFFF" w:themeFill="background1"/>
          </w:tcPr>
          <w:p w14:paraId="3A25A0E9" w14:textId="77777777" w:rsidR="00FC4E44" w:rsidRPr="00E34E88" w:rsidRDefault="00FC4E44" w:rsidP="003847E3">
            <w:pPr>
              <w:jc w:val="both"/>
              <w:rPr>
                <w:b/>
                <w:bCs/>
              </w:rPr>
            </w:pPr>
            <w:r w:rsidRPr="00E34E88">
              <w:rPr>
                <w:b/>
                <w:bCs/>
              </w:rPr>
              <w:t>Maîtrise – coefficient 225</w:t>
            </w:r>
          </w:p>
        </w:tc>
      </w:tr>
      <w:tr w:rsidR="00FC4E44" w:rsidRPr="00E34E88" w14:paraId="3DF59C96" w14:textId="77777777" w:rsidTr="00FC4E44">
        <w:tc>
          <w:tcPr>
            <w:tcW w:w="4531" w:type="dxa"/>
          </w:tcPr>
          <w:p w14:paraId="62B4C9C6" w14:textId="77777777" w:rsidR="00FC4E44" w:rsidRPr="00E34E88" w:rsidRDefault="00FC4E44" w:rsidP="003847E3">
            <w:pPr>
              <w:jc w:val="both"/>
            </w:pPr>
            <w:r w:rsidRPr="00E34E88">
              <w:t>Maîtrise – coefficient 255</w:t>
            </w:r>
          </w:p>
        </w:tc>
        <w:tc>
          <w:tcPr>
            <w:tcW w:w="4531" w:type="dxa"/>
            <w:shd w:val="clear" w:color="auto" w:fill="FFFFFF" w:themeFill="background1"/>
          </w:tcPr>
          <w:p w14:paraId="4CADADE9" w14:textId="77777777" w:rsidR="00FC4E44" w:rsidRPr="00E34E88" w:rsidRDefault="00FC4E44" w:rsidP="003847E3">
            <w:pPr>
              <w:jc w:val="both"/>
              <w:rPr>
                <w:b/>
                <w:bCs/>
              </w:rPr>
            </w:pPr>
            <w:r w:rsidRPr="00E34E88">
              <w:rPr>
                <w:b/>
                <w:bCs/>
              </w:rPr>
              <w:t>Maîtrise – coefficient 265</w:t>
            </w:r>
          </w:p>
        </w:tc>
      </w:tr>
      <w:tr w:rsidR="00FC4E44" w:rsidRPr="00E34E88" w14:paraId="64A26C96" w14:textId="77777777" w:rsidTr="00FC4E44">
        <w:tc>
          <w:tcPr>
            <w:tcW w:w="4531" w:type="dxa"/>
          </w:tcPr>
          <w:p w14:paraId="1284F146" w14:textId="77777777" w:rsidR="00FC4E44" w:rsidRPr="00E34E88" w:rsidRDefault="00FC4E44" w:rsidP="003847E3">
            <w:pPr>
              <w:jc w:val="both"/>
            </w:pPr>
            <w:r w:rsidRPr="00E34E88">
              <w:t>Maîtrise – coefficient 285</w:t>
            </w:r>
          </w:p>
        </w:tc>
        <w:tc>
          <w:tcPr>
            <w:tcW w:w="4531" w:type="dxa"/>
            <w:shd w:val="clear" w:color="auto" w:fill="FFFFFF" w:themeFill="background1"/>
          </w:tcPr>
          <w:p w14:paraId="1128C88C" w14:textId="77777777" w:rsidR="00FC4E44" w:rsidRPr="00E34E88" w:rsidRDefault="00FC4E44" w:rsidP="003847E3">
            <w:pPr>
              <w:jc w:val="both"/>
              <w:rPr>
                <w:b/>
                <w:bCs/>
              </w:rPr>
            </w:pPr>
            <w:r w:rsidRPr="00E34E88">
              <w:rPr>
                <w:b/>
                <w:bCs/>
              </w:rPr>
              <w:t>Maîtrise – coefficient 295</w:t>
            </w:r>
          </w:p>
        </w:tc>
      </w:tr>
      <w:tr w:rsidR="00FC4E44" w:rsidRPr="00E34E88" w14:paraId="25372781" w14:textId="77777777" w:rsidTr="00FC4E44">
        <w:tc>
          <w:tcPr>
            <w:tcW w:w="4531" w:type="dxa"/>
          </w:tcPr>
          <w:p w14:paraId="462CAC81" w14:textId="77777777" w:rsidR="00FC4E44" w:rsidRPr="00E34E88" w:rsidRDefault="00FC4E44" w:rsidP="003847E3">
            <w:pPr>
              <w:jc w:val="both"/>
            </w:pPr>
            <w:r w:rsidRPr="00E34E88">
              <w:t>Maîtrise – coefficient 325</w:t>
            </w:r>
          </w:p>
        </w:tc>
        <w:tc>
          <w:tcPr>
            <w:tcW w:w="4531" w:type="dxa"/>
            <w:shd w:val="clear" w:color="auto" w:fill="FFFFFF" w:themeFill="background1"/>
          </w:tcPr>
          <w:p w14:paraId="3AE2ADED" w14:textId="77777777" w:rsidR="00FC4E44" w:rsidRPr="00E34E88" w:rsidRDefault="00FC4E44" w:rsidP="003847E3">
            <w:pPr>
              <w:jc w:val="both"/>
              <w:rPr>
                <w:b/>
                <w:bCs/>
              </w:rPr>
            </w:pPr>
            <w:r w:rsidRPr="00E34E88">
              <w:rPr>
                <w:b/>
                <w:bCs/>
              </w:rPr>
              <w:t>Maîtrise – coefficient 335</w:t>
            </w:r>
          </w:p>
        </w:tc>
      </w:tr>
      <w:tr w:rsidR="00FC4E44" w:rsidRPr="00E34E88" w14:paraId="13944485" w14:textId="77777777" w:rsidTr="00FC4E44">
        <w:tc>
          <w:tcPr>
            <w:tcW w:w="4531" w:type="dxa"/>
          </w:tcPr>
          <w:p w14:paraId="4FF34180" w14:textId="77777777" w:rsidR="00FC4E44" w:rsidRPr="00E34E88" w:rsidRDefault="00FC4E44" w:rsidP="003847E3">
            <w:pPr>
              <w:jc w:val="both"/>
            </w:pPr>
            <w:r w:rsidRPr="00E34E88">
              <w:t>Cadres – coefficient 455</w:t>
            </w:r>
          </w:p>
        </w:tc>
        <w:tc>
          <w:tcPr>
            <w:tcW w:w="4531" w:type="dxa"/>
            <w:shd w:val="clear" w:color="auto" w:fill="FFFFFF" w:themeFill="background1"/>
          </w:tcPr>
          <w:p w14:paraId="4224A9D6" w14:textId="77777777" w:rsidR="00FC4E44" w:rsidRPr="00E34E88" w:rsidRDefault="00FC4E44" w:rsidP="003847E3">
            <w:pPr>
              <w:jc w:val="both"/>
              <w:rPr>
                <w:b/>
                <w:bCs/>
              </w:rPr>
            </w:pPr>
            <w:r w:rsidRPr="00E34E88">
              <w:rPr>
                <w:b/>
                <w:bCs/>
              </w:rPr>
              <w:t>Cadres – coefficient 505</w:t>
            </w:r>
          </w:p>
        </w:tc>
      </w:tr>
    </w:tbl>
    <w:p w14:paraId="3A156A9F" w14:textId="77777777" w:rsidR="00FC4E44" w:rsidRPr="00E34E88" w:rsidRDefault="00FC4E44" w:rsidP="003847E3">
      <w:pPr>
        <w:jc w:val="both"/>
      </w:pPr>
    </w:p>
    <w:p w14:paraId="62A83A77" w14:textId="77777777" w:rsidR="00FC4E44" w:rsidRPr="00E34E88" w:rsidRDefault="00FC4E44" w:rsidP="003847E3">
      <w:pPr>
        <w:jc w:val="both"/>
      </w:pPr>
      <w:r w:rsidRPr="00E34E88">
        <w:t>A titre d’illustration, cela signifie qu’un salarié actuellement classé au statut Ouvrier – coefficient 165 passera automatiquement, du fait de la suppression de son coefficient, au statut Ouvrier – coefficient 1</w:t>
      </w:r>
      <w:r w:rsidR="00625D1A" w:rsidRPr="00E34E88">
        <w:t>7</w:t>
      </w:r>
      <w:r w:rsidRPr="00E34E88">
        <w:t>5.</w:t>
      </w:r>
    </w:p>
    <w:p w14:paraId="6AD7C5DD" w14:textId="77777777" w:rsidR="00FC4E44" w:rsidRPr="00E34E88" w:rsidRDefault="00FC4E44" w:rsidP="003847E3">
      <w:pPr>
        <w:jc w:val="both"/>
      </w:pPr>
      <w:r w:rsidRPr="00E34E88">
        <w:t>Pour les salariés à emplois multiples visés à l’article 49 de la Convention collective, auxquels sont appliqués le coefficient d’emploi le plus élevé parmi les emplois exercés, dans l’hypothèse où ce coefficient le plus élevé est supprimé, ils seront classés au coefficient supérieur conformément à l’application de la présente règle.</w:t>
      </w:r>
    </w:p>
    <w:p w14:paraId="72CE98EE" w14:textId="77777777" w:rsidR="00FC4E44" w:rsidRPr="00E34E88" w:rsidRDefault="00FC4E44" w:rsidP="00FC4E44">
      <w:pPr>
        <w:jc w:val="both"/>
      </w:pPr>
    </w:p>
    <w:p w14:paraId="7ACDE728" w14:textId="77777777" w:rsidR="00FC4E44" w:rsidRPr="00E34E88" w:rsidRDefault="00FC4E44" w:rsidP="00FC4E44">
      <w:pPr>
        <w:jc w:val="both"/>
      </w:pPr>
      <w:r w:rsidRPr="00E34E88">
        <w:rPr>
          <w:b/>
          <w:bCs/>
        </w:rPr>
        <w:t>3.</w:t>
      </w:r>
      <w:r w:rsidR="001278EE" w:rsidRPr="00E34E88">
        <w:rPr>
          <w:b/>
          <w:bCs/>
        </w:rPr>
        <w:t>2</w:t>
      </w:r>
      <w:r w:rsidRPr="00E34E88">
        <w:rPr>
          <w:b/>
          <w:bCs/>
        </w:rPr>
        <w:t>.</w:t>
      </w:r>
      <w:r w:rsidRPr="00E34E88">
        <w:rPr>
          <w:b/>
          <w:bCs/>
        </w:rPr>
        <w:tab/>
      </w:r>
      <w:r w:rsidRPr="00E34E88">
        <w:t>La suppression des coefficients a également un impact au regard des salaires minima</w:t>
      </w:r>
      <w:r w:rsidR="00BF7D71">
        <w:t xml:space="preserve"> </w:t>
      </w:r>
      <w:r w:rsidRPr="00E34E88">
        <w:t xml:space="preserve">conventionnels qui sont déterminés par coefficient. Les employeurs de la branche devront veiller, du fait du passage automatique des salariés dont le coefficient est supprimé au coefficient supérieur, au respect du salaire minimal conventionnel correspondant à ce coefficient supérieur. </w:t>
      </w:r>
    </w:p>
    <w:p w14:paraId="4829DDBF" w14:textId="77777777" w:rsidR="00FC4E44" w:rsidRPr="00E34E88" w:rsidRDefault="00FC4E44" w:rsidP="00FC4E44">
      <w:pPr>
        <w:jc w:val="both"/>
      </w:pPr>
      <w:r w:rsidRPr="00E34E88">
        <w:t>L</w:t>
      </w:r>
      <w:r w:rsidR="00BF7D71">
        <w:t>a</w:t>
      </w:r>
      <w:r w:rsidRPr="00E34E88">
        <w:t xml:space="preserve"> grille des salaires minima actuellement en vigueur, </w:t>
      </w:r>
      <w:r w:rsidR="00BF7D71">
        <w:t>définie par l’avenant 88 du 28 mai 2019, est</w:t>
      </w:r>
      <w:r w:rsidRPr="00E34E88">
        <w:t xml:space="preserve"> reproduite en annexe </w:t>
      </w:r>
      <w:r w:rsidR="00BF7D71">
        <w:t>1</w:t>
      </w:r>
      <w:r w:rsidRPr="00E34E88">
        <w:t xml:space="preserve"> dans leur version </w:t>
      </w:r>
      <w:proofErr w:type="gramStart"/>
      <w:r w:rsidRPr="00E34E88">
        <w:t>actualisée</w:t>
      </w:r>
      <w:r w:rsidR="00625D1A" w:rsidRPr="00E34E88">
        <w:t xml:space="preserve"> </w:t>
      </w:r>
      <w:r w:rsidR="00BF7D71">
        <w:t>.</w:t>
      </w:r>
      <w:proofErr w:type="gramEnd"/>
    </w:p>
    <w:p w14:paraId="092CB7BD" w14:textId="77777777" w:rsidR="00FC4E44" w:rsidRPr="00E34E88" w:rsidRDefault="00FC4E44" w:rsidP="00FC4E44">
      <w:pPr>
        <w:jc w:val="both"/>
      </w:pPr>
    </w:p>
    <w:p w14:paraId="13918EDA" w14:textId="77777777" w:rsidR="00FC4E44" w:rsidRPr="00E34E88" w:rsidRDefault="00FC4E44" w:rsidP="00FC4E44">
      <w:pPr>
        <w:jc w:val="both"/>
      </w:pPr>
      <w:r w:rsidRPr="00E34E88">
        <w:rPr>
          <w:b/>
          <w:bCs/>
        </w:rPr>
        <w:t>3.</w:t>
      </w:r>
      <w:r w:rsidR="001278EE" w:rsidRPr="00E34E88">
        <w:rPr>
          <w:b/>
          <w:bCs/>
        </w:rPr>
        <w:t>3</w:t>
      </w:r>
      <w:r w:rsidRPr="00E34E88">
        <w:rPr>
          <w:b/>
          <w:bCs/>
        </w:rPr>
        <w:t>.</w:t>
      </w:r>
      <w:r w:rsidRPr="00E34E88">
        <w:tab/>
        <w:t xml:space="preserve">De même, la prime d’ancienneté, dont le montant est fixé en fonction du coefficient, est </w:t>
      </w:r>
      <w:r w:rsidR="00625D1A" w:rsidRPr="00E34E88">
        <w:t>modifiée</w:t>
      </w:r>
      <w:r w:rsidRPr="00E34E88">
        <w:t xml:space="preserve"> par la suppression des coefficients. Il est expressément convenu que les salariés concernés par la suppression des coefficients et qui </w:t>
      </w:r>
      <w:r w:rsidR="00625D1A" w:rsidRPr="00E34E88">
        <w:t>seront affectés</w:t>
      </w:r>
      <w:r w:rsidRPr="00E34E88">
        <w:t xml:space="preserve"> </w:t>
      </w:r>
      <w:r w:rsidR="00625D1A" w:rsidRPr="00E34E88">
        <w:t>au</w:t>
      </w:r>
      <w:r w:rsidRPr="00E34E88">
        <w:t xml:space="preserve"> coefficient supérieur, </w:t>
      </w:r>
      <w:r w:rsidR="00625D1A" w:rsidRPr="00E34E88">
        <w:t>il sera appliqué</w:t>
      </w:r>
      <w:r w:rsidRPr="00E34E88">
        <w:t xml:space="preserve"> la </w:t>
      </w:r>
      <w:r w:rsidRPr="00E34E88">
        <w:lastRenderedPageBreak/>
        <w:t xml:space="preserve">valeur absolue de la prime d’ancienneté correspondant à leur nouveau coefficient, </w:t>
      </w:r>
      <w:r w:rsidR="00625D1A" w:rsidRPr="00E34E88">
        <w:t xml:space="preserve">au plus tard </w:t>
      </w:r>
      <w:r w:rsidRPr="00E34E88">
        <w:t xml:space="preserve">à compter </w:t>
      </w:r>
      <w:r w:rsidR="00625D1A" w:rsidRPr="00E34E88">
        <w:t>le 1</w:t>
      </w:r>
      <w:r w:rsidR="00625D1A" w:rsidRPr="00E34E88">
        <w:rPr>
          <w:vertAlign w:val="superscript"/>
        </w:rPr>
        <w:t>er</w:t>
      </w:r>
      <w:r w:rsidR="00625D1A" w:rsidRPr="00E34E88">
        <w:t xml:space="preserve"> juillet 2021</w:t>
      </w:r>
      <w:r w:rsidRPr="00E34E88">
        <w:t xml:space="preserve">. </w:t>
      </w:r>
    </w:p>
    <w:p w14:paraId="5221F5B8" w14:textId="77777777" w:rsidR="00FC4E44" w:rsidRPr="00E34E88" w:rsidRDefault="00FC4E44" w:rsidP="00FC4E44">
      <w:pPr>
        <w:jc w:val="both"/>
      </w:pPr>
      <w:r w:rsidRPr="00E34E88">
        <w:t>La grille des valeurs absolues</w:t>
      </w:r>
      <w:r w:rsidR="00BF7D71">
        <w:t xml:space="preserve"> de la prime d’ancienneté, définie par l’avenant 88 du 28 mai 2019</w:t>
      </w:r>
      <w:r w:rsidRPr="00E34E88">
        <w:t xml:space="preserve">, actualisée, est reprise en annexe </w:t>
      </w:r>
      <w:r w:rsidR="00BF7D71">
        <w:t>2</w:t>
      </w:r>
      <w:r w:rsidRPr="00E34E88">
        <w:t xml:space="preserve"> du présent avenant. </w:t>
      </w:r>
    </w:p>
    <w:p w14:paraId="7BDC7A58" w14:textId="77777777" w:rsidR="00754B6A" w:rsidRPr="00E34E88" w:rsidRDefault="00754B6A" w:rsidP="00FC4E44">
      <w:pPr>
        <w:jc w:val="both"/>
        <w:rPr>
          <w:color w:val="FF0000"/>
        </w:rPr>
      </w:pPr>
    </w:p>
    <w:p w14:paraId="544E6E64" w14:textId="77777777" w:rsidR="00FC4E44" w:rsidRPr="00E34E88" w:rsidRDefault="00FC4E44" w:rsidP="00FC4E44">
      <w:pPr>
        <w:jc w:val="center"/>
        <w:rPr>
          <w:b/>
          <w:bCs/>
        </w:rPr>
      </w:pPr>
      <w:r w:rsidRPr="00E34E88">
        <w:rPr>
          <w:b/>
          <w:bCs/>
        </w:rPr>
        <w:t xml:space="preserve">Article 4 – </w:t>
      </w:r>
      <w:r w:rsidR="001278EE" w:rsidRPr="00E34E88">
        <w:rPr>
          <w:b/>
          <w:bCs/>
        </w:rPr>
        <w:t>Information</w:t>
      </w:r>
      <w:r w:rsidRPr="00E34E88">
        <w:rPr>
          <w:b/>
          <w:bCs/>
        </w:rPr>
        <w:t xml:space="preserve"> du CSE </w:t>
      </w:r>
      <w:r w:rsidR="001278EE" w:rsidRPr="00E34E88">
        <w:rPr>
          <w:b/>
          <w:bCs/>
        </w:rPr>
        <w:t>et</w:t>
      </w:r>
      <w:r w:rsidR="00E34E88" w:rsidRPr="00E34E88">
        <w:rPr>
          <w:b/>
          <w:bCs/>
        </w:rPr>
        <w:t xml:space="preserve"> </w:t>
      </w:r>
      <w:r w:rsidRPr="00E34E88">
        <w:rPr>
          <w:b/>
          <w:bCs/>
        </w:rPr>
        <w:t>des salariés concernés</w:t>
      </w:r>
    </w:p>
    <w:p w14:paraId="5FEDC5DF" w14:textId="77777777" w:rsidR="00FC4E44" w:rsidRPr="00E34E88" w:rsidRDefault="00FC4E44" w:rsidP="003847E3">
      <w:pPr>
        <w:jc w:val="both"/>
      </w:pPr>
      <w:r w:rsidRPr="00E34E88">
        <w:t>Dans chaque entreprise relevant du champ d’application du présent avenant dotée d’un Comité Economique et Social, l’employeur informera</w:t>
      </w:r>
      <w:r w:rsidR="001278EE" w:rsidRPr="00E34E88">
        <w:t xml:space="preserve"> </w:t>
      </w:r>
      <w:r w:rsidRPr="00E34E88">
        <w:t>cette instance</w:t>
      </w:r>
      <w:r w:rsidR="001278EE" w:rsidRPr="00E34E88">
        <w:t xml:space="preserve"> de cet accord de branche</w:t>
      </w:r>
      <w:r w:rsidRPr="00E34E88">
        <w:t>.</w:t>
      </w:r>
    </w:p>
    <w:p w14:paraId="3FCCEA28" w14:textId="77777777" w:rsidR="00FC4E44" w:rsidRPr="00E34E88" w:rsidRDefault="00FC4E44" w:rsidP="003847E3">
      <w:pPr>
        <w:jc w:val="both"/>
      </w:pPr>
      <w:r w:rsidRPr="00E34E88">
        <w:t xml:space="preserve">Chaque salarié d’une entreprise entrant dans le champ d’application du présent avenant et dont le coefficient est supprimé </w:t>
      </w:r>
      <w:r w:rsidR="001278EE" w:rsidRPr="00E34E88">
        <w:t>sera</w:t>
      </w:r>
      <w:r w:rsidRPr="00E34E88">
        <w:t xml:space="preserve"> informé, par écrit, du nouveau coefficient attribué. </w:t>
      </w:r>
    </w:p>
    <w:p w14:paraId="333FDAD2" w14:textId="77777777" w:rsidR="00FC4E44" w:rsidRPr="00E34E88" w:rsidRDefault="00FC4E44" w:rsidP="003847E3">
      <w:pPr>
        <w:jc w:val="both"/>
      </w:pPr>
    </w:p>
    <w:p w14:paraId="33BA7F69" w14:textId="77777777" w:rsidR="00FC4E44" w:rsidRPr="00E34E88" w:rsidRDefault="00FC4E44" w:rsidP="00FC4E44">
      <w:pPr>
        <w:jc w:val="center"/>
        <w:rPr>
          <w:b/>
          <w:bCs/>
        </w:rPr>
      </w:pPr>
      <w:r w:rsidRPr="00E34E88">
        <w:rPr>
          <w:b/>
          <w:bCs/>
        </w:rPr>
        <w:t>Article 5 – Entrée en vigueur</w:t>
      </w:r>
    </w:p>
    <w:p w14:paraId="14B69FD0" w14:textId="77777777" w:rsidR="00FC4E44" w:rsidRPr="00E34E88" w:rsidRDefault="00FC4E44" w:rsidP="003847E3">
      <w:pPr>
        <w:jc w:val="both"/>
      </w:pPr>
      <w:r w:rsidRPr="00E34E88">
        <w:t>Le présent avenant entre en vigueur à compter de la date de sa signature.</w:t>
      </w:r>
    </w:p>
    <w:p w14:paraId="3D1D98AC" w14:textId="77777777" w:rsidR="00FC4E44" w:rsidRPr="00E34E88" w:rsidRDefault="00FC4E44" w:rsidP="003847E3">
      <w:pPr>
        <w:jc w:val="both"/>
      </w:pPr>
      <w:r w:rsidRPr="00E34E88">
        <w:t xml:space="preserve">Il fera l’objet d’un dépôt et d’une demande d’extension, conformément aux dispositions légales. </w:t>
      </w:r>
    </w:p>
    <w:p w14:paraId="3376DB79" w14:textId="77777777" w:rsidR="00FC4E44" w:rsidRPr="00E34E88" w:rsidRDefault="00FC4E44" w:rsidP="003847E3">
      <w:pPr>
        <w:jc w:val="both"/>
      </w:pPr>
      <w:r w:rsidRPr="00E34E88">
        <w:t>Les parties conviennent que chaque entreprise aura mis en œuvre le présent avenant au plus tard l</w:t>
      </w:r>
      <w:r w:rsidR="00E34E88" w:rsidRPr="00E34E88">
        <w:t>e 1</w:t>
      </w:r>
      <w:r w:rsidR="00E34E88" w:rsidRPr="00E34E88">
        <w:rPr>
          <w:vertAlign w:val="superscript"/>
        </w:rPr>
        <w:t>er</w:t>
      </w:r>
      <w:r w:rsidR="00E34E88" w:rsidRPr="00E34E88">
        <w:t xml:space="preserve"> juillet 2021</w:t>
      </w:r>
      <w:r w:rsidRPr="00E34E88">
        <w:t>.</w:t>
      </w:r>
    </w:p>
    <w:p w14:paraId="71CE7464" w14:textId="77777777" w:rsidR="00FC4E44" w:rsidRPr="00E34E88" w:rsidRDefault="00FC4E44" w:rsidP="003847E3">
      <w:pPr>
        <w:jc w:val="both"/>
      </w:pPr>
    </w:p>
    <w:p w14:paraId="18540C74" w14:textId="77777777" w:rsidR="00FC4E44" w:rsidRPr="00E34E88" w:rsidRDefault="00FC4E44">
      <w:r w:rsidRPr="00E34E88">
        <w:br w:type="page"/>
      </w:r>
    </w:p>
    <w:p w14:paraId="6B6E75CF" w14:textId="77777777" w:rsidR="00FC4E44" w:rsidRDefault="00FC4E44" w:rsidP="00FC4E44">
      <w:pPr>
        <w:ind w:firstLine="360"/>
        <w:jc w:val="center"/>
        <w:rPr>
          <w:rFonts w:cs="Tahoma"/>
          <w:b/>
        </w:rPr>
      </w:pPr>
      <w:r w:rsidRPr="00E34E88">
        <w:rPr>
          <w:rFonts w:cs="Tahoma"/>
          <w:b/>
        </w:rPr>
        <w:lastRenderedPageBreak/>
        <w:t xml:space="preserve">ANNEXE </w:t>
      </w:r>
      <w:r w:rsidR="00E34E88" w:rsidRPr="00E34E88">
        <w:rPr>
          <w:rFonts w:cs="Tahoma"/>
          <w:b/>
        </w:rPr>
        <w:t>1</w:t>
      </w:r>
      <w:r w:rsidR="00091050" w:rsidRPr="00E34E88">
        <w:rPr>
          <w:rFonts w:cs="Tahoma"/>
          <w:b/>
        </w:rPr>
        <w:t xml:space="preserve"> </w:t>
      </w:r>
      <w:r w:rsidRPr="00E34E88">
        <w:rPr>
          <w:rFonts w:cs="Tahoma"/>
          <w:b/>
        </w:rPr>
        <w:t>- GRILLE DES SALAIRES MINIMAS ACTUALISEE</w:t>
      </w:r>
    </w:p>
    <w:p w14:paraId="07AA84D5" w14:textId="77777777" w:rsidR="00957972" w:rsidRPr="00E34E88" w:rsidRDefault="00957972" w:rsidP="00FC4E44">
      <w:pPr>
        <w:ind w:firstLine="360"/>
        <w:jc w:val="center"/>
        <w:rPr>
          <w:rFonts w:cs="Tahoma"/>
          <w:b/>
        </w:rPr>
      </w:pPr>
      <w:r>
        <w:rPr>
          <w:rFonts w:cs="Tahoma"/>
          <w:b/>
        </w:rPr>
        <w:t>Avenant 88 du 28 mai 2019</w:t>
      </w:r>
    </w:p>
    <w:p w14:paraId="33B691F5" w14:textId="77777777" w:rsidR="000C6622" w:rsidRPr="00E34E88" w:rsidRDefault="000C6622"/>
    <w:tbl>
      <w:tblPr>
        <w:tblW w:w="5093" w:type="dxa"/>
        <w:jc w:val="center"/>
        <w:tblCellMar>
          <w:left w:w="70" w:type="dxa"/>
          <w:right w:w="70" w:type="dxa"/>
        </w:tblCellMar>
        <w:tblLook w:val="04A0" w:firstRow="1" w:lastRow="0" w:firstColumn="1" w:lastColumn="0" w:noHBand="0" w:noVBand="1"/>
      </w:tblPr>
      <w:tblGrid>
        <w:gridCol w:w="1300"/>
        <w:gridCol w:w="1809"/>
        <w:gridCol w:w="1984"/>
      </w:tblGrid>
      <w:tr w:rsidR="000C6622" w:rsidRPr="000C6622" w14:paraId="4ED117EF" w14:textId="77777777" w:rsidTr="00773044">
        <w:trPr>
          <w:trHeight w:val="980"/>
          <w:jc w:val="center"/>
        </w:trPr>
        <w:tc>
          <w:tcPr>
            <w:tcW w:w="1300" w:type="dxa"/>
            <w:tcBorders>
              <w:top w:val="nil"/>
              <w:left w:val="single" w:sz="8" w:space="0" w:color="auto"/>
              <w:bottom w:val="single" w:sz="8" w:space="0" w:color="auto"/>
              <w:right w:val="single" w:sz="4" w:space="0" w:color="auto"/>
            </w:tcBorders>
            <w:shd w:val="clear" w:color="000000" w:fill="F79646"/>
            <w:vAlign w:val="center"/>
            <w:hideMark/>
          </w:tcPr>
          <w:p w14:paraId="7E0A2EC7"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proofErr w:type="gramStart"/>
            <w:r w:rsidRPr="000C6622">
              <w:rPr>
                <w:rFonts w:ascii="Calibri" w:eastAsia="Times New Roman" w:hAnsi="Calibri" w:cs="Times New Roman"/>
                <w:color w:val="000000"/>
                <w:sz w:val="24"/>
                <w:szCs w:val="24"/>
                <w:lang w:eastAsia="fr-FR"/>
              </w:rPr>
              <w:t>coefficient</w:t>
            </w:r>
            <w:proofErr w:type="gramEnd"/>
          </w:p>
        </w:tc>
        <w:tc>
          <w:tcPr>
            <w:tcW w:w="1809" w:type="dxa"/>
            <w:tcBorders>
              <w:top w:val="nil"/>
              <w:left w:val="nil"/>
              <w:bottom w:val="single" w:sz="8" w:space="0" w:color="auto"/>
              <w:right w:val="single" w:sz="8" w:space="0" w:color="auto"/>
            </w:tcBorders>
            <w:shd w:val="clear" w:color="000000" w:fill="F79646"/>
            <w:vAlign w:val="center"/>
            <w:hideMark/>
          </w:tcPr>
          <w:p w14:paraId="67B19322"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Salaire horaire minimum</w:t>
            </w:r>
          </w:p>
        </w:tc>
        <w:tc>
          <w:tcPr>
            <w:tcW w:w="1984" w:type="dxa"/>
            <w:tcBorders>
              <w:top w:val="nil"/>
              <w:left w:val="nil"/>
              <w:bottom w:val="single" w:sz="8" w:space="0" w:color="auto"/>
              <w:right w:val="single" w:sz="8" w:space="0" w:color="auto"/>
            </w:tcBorders>
            <w:shd w:val="clear" w:color="000000" w:fill="F79646"/>
            <w:vAlign w:val="center"/>
            <w:hideMark/>
          </w:tcPr>
          <w:p w14:paraId="22666F85"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Salaire mensuel minimum pour 151,67 h</w:t>
            </w:r>
          </w:p>
        </w:tc>
      </w:tr>
      <w:tr w:rsidR="000C6622" w:rsidRPr="000C6622" w14:paraId="36F4657D"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469004C4"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125</w:t>
            </w:r>
          </w:p>
        </w:tc>
        <w:tc>
          <w:tcPr>
            <w:tcW w:w="1809" w:type="dxa"/>
            <w:tcBorders>
              <w:top w:val="nil"/>
              <w:left w:val="nil"/>
              <w:bottom w:val="single" w:sz="4" w:space="0" w:color="auto"/>
              <w:right w:val="single" w:sz="4" w:space="0" w:color="auto"/>
            </w:tcBorders>
            <w:shd w:val="clear" w:color="000000" w:fill="FDE9D9"/>
            <w:noWrap/>
          </w:tcPr>
          <w:p w14:paraId="1E139DFC"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10,08    </w:t>
            </w:r>
          </w:p>
        </w:tc>
        <w:tc>
          <w:tcPr>
            <w:tcW w:w="1984" w:type="dxa"/>
            <w:tcBorders>
              <w:top w:val="nil"/>
              <w:left w:val="nil"/>
              <w:bottom w:val="single" w:sz="4" w:space="0" w:color="auto"/>
              <w:right w:val="single" w:sz="8" w:space="0" w:color="auto"/>
            </w:tcBorders>
            <w:shd w:val="clear" w:color="000000" w:fill="FDE9D9"/>
            <w:noWrap/>
          </w:tcPr>
          <w:p w14:paraId="71A08AA9"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1 528,83    </w:t>
            </w:r>
          </w:p>
        </w:tc>
      </w:tr>
      <w:tr w:rsidR="000C6622" w:rsidRPr="000C6622" w14:paraId="1FC3FF47"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58E63C0F"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135</w:t>
            </w:r>
          </w:p>
        </w:tc>
        <w:tc>
          <w:tcPr>
            <w:tcW w:w="1809" w:type="dxa"/>
            <w:tcBorders>
              <w:top w:val="nil"/>
              <w:left w:val="nil"/>
              <w:bottom w:val="single" w:sz="4" w:space="0" w:color="auto"/>
              <w:right w:val="single" w:sz="4" w:space="0" w:color="auto"/>
            </w:tcBorders>
            <w:shd w:val="clear" w:color="000000" w:fill="FDE9D9"/>
            <w:noWrap/>
          </w:tcPr>
          <w:p w14:paraId="139AE883"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10,12    </w:t>
            </w:r>
          </w:p>
        </w:tc>
        <w:tc>
          <w:tcPr>
            <w:tcW w:w="1984" w:type="dxa"/>
            <w:tcBorders>
              <w:top w:val="nil"/>
              <w:left w:val="nil"/>
              <w:bottom w:val="single" w:sz="4" w:space="0" w:color="auto"/>
              <w:right w:val="single" w:sz="8" w:space="0" w:color="auto"/>
            </w:tcBorders>
            <w:shd w:val="clear" w:color="000000" w:fill="FDE9D9"/>
            <w:noWrap/>
          </w:tcPr>
          <w:p w14:paraId="38D6B3FF"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1 535,16    </w:t>
            </w:r>
          </w:p>
        </w:tc>
      </w:tr>
      <w:tr w:rsidR="000C6622" w:rsidRPr="000C6622" w14:paraId="342DD31D"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3D24FEC4"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145</w:t>
            </w:r>
          </w:p>
        </w:tc>
        <w:tc>
          <w:tcPr>
            <w:tcW w:w="1809" w:type="dxa"/>
            <w:tcBorders>
              <w:top w:val="nil"/>
              <w:left w:val="nil"/>
              <w:bottom w:val="single" w:sz="4" w:space="0" w:color="auto"/>
              <w:right w:val="single" w:sz="4" w:space="0" w:color="auto"/>
            </w:tcBorders>
            <w:shd w:val="clear" w:color="000000" w:fill="FDE9D9"/>
            <w:noWrap/>
          </w:tcPr>
          <w:p w14:paraId="4F4E72FA"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10,17    </w:t>
            </w:r>
          </w:p>
        </w:tc>
        <w:tc>
          <w:tcPr>
            <w:tcW w:w="1984" w:type="dxa"/>
            <w:tcBorders>
              <w:top w:val="nil"/>
              <w:left w:val="nil"/>
              <w:bottom w:val="single" w:sz="4" w:space="0" w:color="auto"/>
              <w:right w:val="single" w:sz="8" w:space="0" w:color="auto"/>
            </w:tcBorders>
            <w:shd w:val="clear" w:color="000000" w:fill="FDE9D9"/>
            <w:noWrap/>
          </w:tcPr>
          <w:p w14:paraId="0F9DCF7E"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1 542,98    </w:t>
            </w:r>
          </w:p>
        </w:tc>
      </w:tr>
      <w:tr w:rsidR="000C6622" w:rsidRPr="000C6622" w14:paraId="0E608775"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5D08DE2B"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155</w:t>
            </w:r>
          </w:p>
        </w:tc>
        <w:tc>
          <w:tcPr>
            <w:tcW w:w="1809" w:type="dxa"/>
            <w:tcBorders>
              <w:top w:val="nil"/>
              <w:left w:val="nil"/>
              <w:bottom w:val="single" w:sz="4" w:space="0" w:color="auto"/>
              <w:right w:val="single" w:sz="4" w:space="0" w:color="auto"/>
            </w:tcBorders>
            <w:shd w:val="clear" w:color="000000" w:fill="FDE9D9"/>
            <w:noWrap/>
          </w:tcPr>
          <w:p w14:paraId="38400145"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10,22    </w:t>
            </w:r>
          </w:p>
        </w:tc>
        <w:tc>
          <w:tcPr>
            <w:tcW w:w="1984" w:type="dxa"/>
            <w:tcBorders>
              <w:top w:val="nil"/>
              <w:left w:val="nil"/>
              <w:bottom w:val="single" w:sz="4" w:space="0" w:color="auto"/>
              <w:right w:val="single" w:sz="8" w:space="0" w:color="auto"/>
            </w:tcBorders>
            <w:shd w:val="clear" w:color="000000" w:fill="FDE9D9"/>
            <w:noWrap/>
          </w:tcPr>
          <w:p w14:paraId="0A7D924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1 550,79    </w:t>
            </w:r>
          </w:p>
        </w:tc>
      </w:tr>
      <w:tr w:rsidR="000C6622" w:rsidRPr="000C6622" w14:paraId="0AA9DD5D"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28393DB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175</w:t>
            </w:r>
          </w:p>
        </w:tc>
        <w:tc>
          <w:tcPr>
            <w:tcW w:w="1809" w:type="dxa"/>
            <w:tcBorders>
              <w:top w:val="nil"/>
              <w:left w:val="nil"/>
              <w:bottom w:val="single" w:sz="4" w:space="0" w:color="auto"/>
              <w:right w:val="single" w:sz="4" w:space="0" w:color="auto"/>
            </w:tcBorders>
            <w:shd w:val="clear" w:color="000000" w:fill="FDE9D9"/>
            <w:noWrap/>
          </w:tcPr>
          <w:p w14:paraId="37006CE5"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10,43    </w:t>
            </w:r>
          </w:p>
        </w:tc>
        <w:tc>
          <w:tcPr>
            <w:tcW w:w="1984" w:type="dxa"/>
            <w:tcBorders>
              <w:top w:val="nil"/>
              <w:left w:val="nil"/>
              <w:bottom w:val="single" w:sz="4" w:space="0" w:color="auto"/>
              <w:right w:val="single" w:sz="8" w:space="0" w:color="auto"/>
            </w:tcBorders>
            <w:shd w:val="clear" w:color="000000" w:fill="FDE9D9"/>
            <w:noWrap/>
          </w:tcPr>
          <w:p w14:paraId="265E4C82"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1 581,92    </w:t>
            </w:r>
          </w:p>
        </w:tc>
      </w:tr>
      <w:tr w:rsidR="000C6622" w:rsidRPr="000C6622" w14:paraId="2872B288"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319DECDD"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195</w:t>
            </w:r>
          </w:p>
        </w:tc>
        <w:tc>
          <w:tcPr>
            <w:tcW w:w="1809" w:type="dxa"/>
            <w:tcBorders>
              <w:top w:val="nil"/>
              <w:left w:val="nil"/>
              <w:bottom w:val="single" w:sz="4" w:space="0" w:color="auto"/>
              <w:right w:val="single" w:sz="4" w:space="0" w:color="auto"/>
            </w:tcBorders>
            <w:shd w:val="clear" w:color="000000" w:fill="FDE9D9"/>
            <w:noWrap/>
          </w:tcPr>
          <w:p w14:paraId="129496FB"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10,84    </w:t>
            </w:r>
          </w:p>
        </w:tc>
        <w:tc>
          <w:tcPr>
            <w:tcW w:w="1984" w:type="dxa"/>
            <w:tcBorders>
              <w:top w:val="nil"/>
              <w:left w:val="nil"/>
              <w:bottom w:val="single" w:sz="4" w:space="0" w:color="auto"/>
              <w:right w:val="single" w:sz="8" w:space="0" w:color="auto"/>
            </w:tcBorders>
            <w:shd w:val="clear" w:color="000000" w:fill="FDE9D9"/>
            <w:noWrap/>
          </w:tcPr>
          <w:p w14:paraId="6970D39A"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1 644,49    </w:t>
            </w:r>
          </w:p>
        </w:tc>
      </w:tr>
      <w:tr w:rsidR="000C6622" w:rsidRPr="000C6622" w14:paraId="5CCAA349"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5337E159"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205</w:t>
            </w:r>
          </w:p>
        </w:tc>
        <w:tc>
          <w:tcPr>
            <w:tcW w:w="1809" w:type="dxa"/>
            <w:tcBorders>
              <w:top w:val="nil"/>
              <w:left w:val="nil"/>
              <w:bottom w:val="single" w:sz="4" w:space="0" w:color="auto"/>
              <w:right w:val="single" w:sz="4" w:space="0" w:color="auto"/>
            </w:tcBorders>
            <w:shd w:val="clear" w:color="000000" w:fill="FDE9D9"/>
            <w:noWrap/>
          </w:tcPr>
          <w:p w14:paraId="21CCFA49"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10,97    </w:t>
            </w:r>
          </w:p>
        </w:tc>
        <w:tc>
          <w:tcPr>
            <w:tcW w:w="1984" w:type="dxa"/>
            <w:tcBorders>
              <w:top w:val="nil"/>
              <w:left w:val="nil"/>
              <w:bottom w:val="single" w:sz="4" w:space="0" w:color="auto"/>
              <w:right w:val="single" w:sz="8" w:space="0" w:color="auto"/>
            </w:tcBorders>
            <w:shd w:val="clear" w:color="000000" w:fill="FDE9D9"/>
            <w:noWrap/>
          </w:tcPr>
          <w:p w14:paraId="4FAA8C06"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1 664,18    </w:t>
            </w:r>
          </w:p>
        </w:tc>
      </w:tr>
      <w:tr w:rsidR="000C6622" w:rsidRPr="000C6622" w14:paraId="64954C92"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64E710F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225</w:t>
            </w:r>
          </w:p>
        </w:tc>
        <w:tc>
          <w:tcPr>
            <w:tcW w:w="1809" w:type="dxa"/>
            <w:tcBorders>
              <w:top w:val="nil"/>
              <w:left w:val="nil"/>
              <w:bottom w:val="single" w:sz="4" w:space="0" w:color="auto"/>
              <w:right w:val="single" w:sz="4" w:space="0" w:color="auto"/>
            </w:tcBorders>
            <w:shd w:val="clear" w:color="000000" w:fill="FDE9D9"/>
            <w:noWrap/>
          </w:tcPr>
          <w:p w14:paraId="0F81DD32"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11,08    </w:t>
            </w:r>
          </w:p>
        </w:tc>
        <w:tc>
          <w:tcPr>
            <w:tcW w:w="1984" w:type="dxa"/>
            <w:tcBorders>
              <w:top w:val="nil"/>
              <w:left w:val="nil"/>
              <w:bottom w:val="single" w:sz="4" w:space="0" w:color="auto"/>
              <w:right w:val="single" w:sz="8" w:space="0" w:color="auto"/>
            </w:tcBorders>
            <w:shd w:val="clear" w:color="000000" w:fill="FDE9D9"/>
            <w:noWrap/>
          </w:tcPr>
          <w:p w14:paraId="040F935F"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1 680,17    </w:t>
            </w:r>
          </w:p>
        </w:tc>
      </w:tr>
      <w:tr w:rsidR="000C6622" w:rsidRPr="000C6622" w14:paraId="510B2DF5"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4EA76B8F"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235</w:t>
            </w:r>
          </w:p>
        </w:tc>
        <w:tc>
          <w:tcPr>
            <w:tcW w:w="1809" w:type="dxa"/>
            <w:tcBorders>
              <w:top w:val="nil"/>
              <w:left w:val="nil"/>
              <w:bottom w:val="single" w:sz="4" w:space="0" w:color="auto"/>
              <w:right w:val="single" w:sz="4" w:space="0" w:color="auto"/>
            </w:tcBorders>
            <w:shd w:val="clear" w:color="000000" w:fill="FDE9D9"/>
            <w:noWrap/>
          </w:tcPr>
          <w:p w14:paraId="07D623B8"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11,57    </w:t>
            </w:r>
          </w:p>
        </w:tc>
        <w:tc>
          <w:tcPr>
            <w:tcW w:w="1984" w:type="dxa"/>
            <w:tcBorders>
              <w:top w:val="nil"/>
              <w:left w:val="nil"/>
              <w:bottom w:val="single" w:sz="4" w:space="0" w:color="auto"/>
              <w:right w:val="single" w:sz="8" w:space="0" w:color="auto"/>
            </w:tcBorders>
            <w:shd w:val="clear" w:color="000000" w:fill="FDE9D9"/>
            <w:noWrap/>
          </w:tcPr>
          <w:p w14:paraId="3D250A5C"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1 754,92    </w:t>
            </w:r>
          </w:p>
        </w:tc>
      </w:tr>
      <w:tr w:rsidR="000C6622" w:rsidRPr="000C6622" w14:paraId="57E02BA3"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34EEF53C"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245</w:t>
            </w:r>
          </w:p>
        </w:tc>
        <w:tc>
          <w:tcPr>
            <w:tcW w:w="1809" w:type="dxa"/>
            <w:tcBorders>
              <w:top w:val="nil"/>
              <w:left w:val="nil"/>
              <w:bottom w:val="single" w:sz="4" w:space="0" w:color="auto"/>
              <w:right w:val="single" w:sz="4" w:space="0" w:color="auto"/>
            </w:tcBorders>
            <w:shd w:val="clear" w:color="000000" w:fill="FDE9D9"/>
            <w:noWrap/>
          </w:tcPr>
          <w:p w14:paraId="4E42C17C"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12,05    </w:t>
            </w:r>
          </w:p>
        </w:tc>
        <w:tc>
          <w:tcPr>
            <w:tcW w:w="1984" w:type="dxa"/>
            <w:tcBorders>
              <w:top w:val="nil"/>
              <w:left w:val="nil"/>
              <w:bottom w:val="single" w:sz="4" w:space="0" w:color="auto"/>
              <w:right w:val="single" w:sz="8" w:space="0" w:color="auto"/>
            </w:tcBorders>
            <w:shd w:val="clear" w:color="000000" w:fill="FDE9D9"/>
            <w:noWrap/>
          </w:tcPr>
          <w:p w14:paraId="72057ED8"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1 828,10    </w:t>
            </w:r>
          </w:p>
        </w:tc>
      </w:tr>
      <w:tr w:rsidR="000C6622" w:rsidRPr="000C6622" w14:paraId="0101B071"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4DF7002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265</w:t>
            </w:r>
          </w:p>
        </w:tc>
        <w:tc>
          <w:tcPr>
            <w:tcW w:w="1809" w:type="dxa"/>
            <w:tcBorders>
              <w:top w:val="nil"/>
              <w:left w:val="nil"/>
              <w:bottom w:val="single" w:sz="4" w:space="0" w:color="auto"/>
              <w:right w:val="single" w:sz="4" w:space="0" w:color="auto"/>
            </w:tcBorders>
            <w:shd w:val="clear" w:color="000000" w:fill="FDE9D9"/>
            <w:noWrap/>
          </w:tcPr>
          <w:p w14:paraId="17CCCBC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13,30    </w:t>
            </w:r>
          </w:p>
        </w:tc>
        <w:tc>
          <w:tcPr>
            <w:tcW w:w="1984" w:type="dxa"/>
            <w:tcBorders>
              <w:top w:val="nil"/>
              <w:left w:val="nil"/>
              <w:bottom w:val="single" w:sz="4" w:space="0" w:color="auto"/>
              <w:right w:val="single" w:sz="8" w:space="0" w:color="auto"/>
            </w:tcBorders>
            <w:shd w:val="clear" w:color="000000" w:fill="FDE9D9"/>
            <w:noWrap/>
          </w:tcPr>
          <w:p w14:paraId="26B175D2"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2 017,21    </w:t>
            </w:r>
          </w:p>
        </w:tc>
      </w:tr>
      <w:tr w:rsidR="000C6622" w:rsidRPr="000C6622" w14:paraId="40363C02"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38DA868A"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275</w:t>
            </w:r>
          </w:p>
        </w:tc>
        <w:tc>
          <w:tcPr>
            <w:tcW w:w="1809" w:type="dxa"/>
            <w:tcBorders>
              <w:top w:val="nil"/>
              <w:left w:val="nil"/>
              <w:bottom w:val="single" w:sz="4" w:space="0" w:color="auto"/>
              <w:right w:val="single" w:sz="4" w:space="0" w:color="auto"/>
            </w:tcBorders>
            <w:shd w:val="clear" w:color="000000" w:fill="FDE9D9"/>
            <w:noWrap/>
          </w:tcPr>
          <w:p w14:paraId="32682B69"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13,51    </w:t>
            </w:r>
          </w:p>
        </w:tc>
        <w:tc>
          <w:tcPr>
            <w:tcW w:w="1984" w:type="dxa"/>
            <w:tcBorders>
              <w:top w:val="nil"/>
              <w:left w:val="nil"/>
              <w:bottom w:val="single" w:sz="4" w:space="0" w:color="auto"/>
              <w:right w:val="single" w:sz="8" w:space="0" w:color="auto"/>
            </w:tcBorders>
            <w:shd w:val="clear" w:color="000000" w:fill="FDE9D9"/>
            <w:noWrap/>
          </w:tcPr>
          <w:p w14:paraId="615620D3"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2 049,21    </w:t>
            </w:r>
          </w:p>
        </w:tc>
      </w:tr>
      <w:tr w:rsidR="000C6622" w:rsidRPr="000C6622" w14:paraId="34EAA457"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7BA8EE24"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295</w:t>
            </w:r>
          </w:p>
        </w:tc>
        <w:tc>
          <w:tcPr>
            <w:tcW w:w="1809" w:type="dxa"/>
            <w:tcBorders>
              <w:top w:val="nil"/>
              <w:left w:val="nil"/>
              <w:bottom w:val="single" w:sz="4" w:space="0" w:color="auto"/>
              <w:right w:val="single" w:sz="4" w:space="0" w:color="auto"/>
            </w:tcBorders>
            <w:shd w:val="clear" w:color="000000" w:fill="FDE9D9"/>
            <w:noWrap/>
          </w:tcPr>
          <w:p w14:paraId="1AC4DDFB"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14,50    </w:t>
            </w:r>
          </w:p>
        </w:tc>
        <w:tc>
          <w:tcPr>
            <w:tcW w:w="1984" w:type="dxa"/>
            <w:tcBorders>
              <w:top w:val="nil"/>
              <w:left w:val="nil"/>
              <w:bottom w:val="single" w:sz="4" w:space="0" w:color="auto"/>
              <w:right w:val="single" w:sz="8" w:space="0" w:color="auto"/>
            </w:tcBorders>
            <w:shd w:val="clear" w:color="000000" w:fill="FDE9D9"/>
            <w:noWrap/>
          </w:tcPr>
          <w:p w14:paraId="0D84A640"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2 198,71    </w:t>
            </w:r>
          </w:p>
        </w:tc>
      </w:tr>
      <w:tr w:rsidR="000C6622" w:rsidRPr="000C6622" w14:paraId="1EF03AD2"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28AF7533"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305</w:t>
            </w:r>
          </w:p>
        </w:tc>
        <w:tc>
          <w:tcPr>
            <w:tcW w:w="1809" w:type="dxa"/>
            <w:tcBorders>
              <w:top w:val="nil"/>
              <w:left w:val="nil"/>
              <w:bottom w:val="single" w:sz="4" w:space="0" w:color="auto"/>
              <w:right w:val="single" w:sz="4" w:space="0" w:color="auto"/>
            </w:tcBorders>
            <w:shd w:val="clear" w:color="000000" w:fill="FDE9D9"/>
            <w:noWrap/>
          </w:tcPr>
          <w:p w14:paraId="6E2FE5F7"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15,02    </w:t>
            </w:r>
          </w:p>
        </w:tc>
        <w:tc>
          <w:tcPr>
            <w:tcW w:w="1984" w:type="dxa"/>
            <w:tcBorders>
              <w:top w:val="nil"/>
              <w:left w:val="nil"/>
              <w:bottom w:val="single" w:sz="4" w:space="0" w:color="auto"/>
              <w:right w:val="single" w:sz="8" w:space="0" w:color="auto"/>
            </w:tcBorders>
            <w:shd w:val="clear" w:color="000000" w:fill="FDE9D9"/>
            <w:noWrap/>
          </w:tcPr>
          <w:p w14:paraId="3E9616AA"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2 278,12    </w:t>
            </w:r>
          </w:p>
        </w:tc>
      </w:tr>
      <w:tr w:rsidR="000C6622" w:rsidRPr="000C6622" w14:paraId="0BFBC6FA"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010D5393"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315</w:t>
            </w:r>
          </w:p>
        </w:tc>
        <w:tc>
          <w:tcPr>
            <w:tcW w:w="1809" w:type="dxa"/>
            <w:tcBorders>
              <w:top w:val="nil"/>
              <w:left w:val="nil"/>
              <w:bottom w:val="single" w:sz="4" w:space="0" w:color="auto"/>
              <w:right w:val="single" w:sz="4" w:space="0" w:color="auto"/>
            </w:tcBorders>
            <w:shd w:val="clear" w:color="000000" w:fill="FDE9D9"/>
            <w:noWrap/>
          </w:tcPr>
          <w:p w14:paraId="774BD43D"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15,54    </w:t>
            </w:r>
          </w:p>
        </w:tc>
        <w:tc>
          <w:tcPr>
            <w:tcW w:w="1984" w:type="dxa"/>
            <w:tcBorders>
              <w:top w:val="nil"/>
              <w:left w:val="nil"/>
              <w:bottom w:val="single" w:sz="4" w:space="0" w:color="auto"/>
              <w:right w:val="single" w:sz="8" w:space="0" w:color="auto"/>
            </w:tcBorders>
            <w:shd w:val="clear" w:color="000000" w:fill="FDE9D9"/>
            <w:noWrap/>
          </w:tcPr>
          <w:p w14:paraId="331A1DF3"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2 357,54    </w:t>
            </w:r>
          </w:p>
        </w:tc>
      </w:tr>
      <w:tr w:rsidR="000C6622" w:rsidRPr="000C6622" w14:paraId="1BA8DA16"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550D142D"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335</w:t>
            </w:r>
          </w:p>
        </w:tc>
        <w:tc>
          <w:tcPr>
            <w:tcW w:w="1809" w:type="dxa"/>
            <w:tcBorders>
              <w:top w:val="nil"/>
              <w:left w:val="nil"/>
              <w:bottom w:val="single" w:sz="4" w:space="0" w:color="auto"/>
              <w:right w:val="single" w:sz="4" w:space="0" w:color="auto"/>
            </w:tcBorders>
            <w:shd w:val="clear" w:color="000000" w:fill="FDE9D9"/>
            <w:noWrap/>
          </w:tcPr>
          <w:p w14:paraId="71CBD464"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16,50    </w:t>
            </w:r>
          </w:p>
        </w:tc>
        <w:tc>
          <w:tcPr>
            <w:tcW w:w="1984" w:type="dxa"/>
            <w:tcBorders>
              <w:top w:val="nil"/>
              <w:left w:val="nil"/>
              <w:bottom w:val="single" w:sz="4" w:space="0" w:color="auto"/>
              <w:right w:val="single" w:sz="8" w:space="0" w:color="auto"/>
            </w:tcBorders>
            <w:shd w:val="clear" w:color="000000" w:fill="FDE9D9"/>
            <w:noWrap/>
          </w:tcPr>
          <w:p w14:paraId="339FFC8F"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2 502,35    </w:t>
            </w:r>
          </w:p>
        </w:tc>
      </w:tr>
      <w:tr w:rsidR="000C6622" w:rsidRPr="000C6622" w14:paraId="1D66279C"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37C3333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345</w:t>
            </w:r>
          </w:p>
        </w:tc>
        <w:tc>
          <w:tcPr>
            <w:tcW w:w="1809" w:type="dxa"/>
            <w:tcBorders>
              <w:top w:val="nil"/>
              <w:left w:val="nil"/>
              <w:bottom w:val="single" w:sz="4" w:space="0" w:color="auto"/>
              <w:right w:val="single" w:sz="4" w:space="0" w:color="auto"/>
            </w:tcBorders>
            <w:shd w:val="clear" w:color="000000" w:fill="FDE9D9"/>
            <w:noWrap/>
          </w:tcPr>
          <w:p w14:paraId="568FB74A"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16,97    </w:t>
            </w:r>
          </w:p>
        </w:tc>
        <w:tc>
          <w:tcPr>
            <w:tcW w:w="1984" w:type="dxa"/>
            <w:tcBorders>
              <w:top w:val="nil"/>
              <w:left w:val="nil"/>
              <w:bottom w:val="single" w:sz="4" w:space="0" w:color="auto"/>
              <w:right w:val="single" w:sz="8" w:space="0" w:color="auto"/>
            </w:tcBorders>
            <w:shd w:val="clear" w:color="000000" w:fill="FDE9D9"/>
            <w:noWrap/>
          </w:tcPr>
          <w:p w14:paraId="62777F93"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2 573,84    </w:t>
            </w:r>
          </w:p>
        </w:tc>
      </w:tr>
      <w:tr w:rsidR="000C6622" w:rsidRPr="000C6622" w14:paraId="5BA2AD6D"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730A5327"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355</w:t>
            </w:r>
          </w:p>
        </w:tc>
        <w:tc>
          <w:tcPr>
            <w:tcW w:w="1809" w:type="dxa"/>
            <w:tcBorders>
              <w:top w:val="nil"/>
              <w:left w:val="nil"/>
              <w:bottom w:val="single" w:sz="4" w:space="0" w:color="auto"/>
              <w:right w:val="single" w:sz="4" w:space="0" w:color="auto"/>
            </w:tcBorders>
            <w:shd w:val="clear" w:color="000000" w:fill="FDE9D9"/>
            <w:noWrap/>
          </w:tcPr>
          <w:p w14:paraId="6E24E3F2"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16,99    </w:t>
            </w:r>
          </w:p>
        </w:tc>
        <w:tc>
          <w:tcPr>
            <w:tcW w:w="1984" w:type="dxa"/>
            <w:tcBorders>
              <w:top w:val="nil"/>
              <w:left w:val="nil"/>
              <w:bottom w:val="single" w:sz="4" w:space="0" w:color="auto"/>
              <w:right w:val="single" w:sz="8" w:space="0" w:color="auto"/>
            </w:tcBorders>
            <w:shd w:val="clear" w:color="000000" w:fill="FDE9D9"/>
            <w:noWrap/>
          </w:tcPr>
          <w:p w14:paraId="1849A098"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2 576,72    </w:t>
            </w:r>
          </w:p>
        </w:tc>
      </w:tr>
      <w:tr w:rsidR="000C6622" w:rsidRPr="000C6622" w14:paraId="34A48A45"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0AE41002"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405</w:t>
            </w:r>
          </w:p>
        </w:tc>
        <w:tc>
          <w:tcPr>
            <w:tcW w:w="1809" w:type="dxa"/>
            <w:tcBorders>
              <w:top w:val="nil"/>
              <w:left w:val="nil"/>
              <w:bottom w:val="single" w:sz="4" w:space="0" w:color="auto"/>
              <w:right w:val="single" w:sz="4" w:space="0" w:color="auto"/>
            </w:tcBorders>
            <w:shd w:val="clear" w:color="000000" w:fill="FDE9D9"/>
            <w:noWrap/>
          </w:tcPr>
          <w:p w14:paraId="6A46D54C"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19,37    </w:t>
            </w:r>
          </w:p>
        </w:tc>
        <w:tc>
          <w:tcPr>
            <w:tcW w:w="1984" w:type="dxa"/>
            <w:tcBorders>
              <w:top w:val="nil"/>
              <w:left w:val="nil"/>
              <w:bottom w:val="single" w:sz="4" w:space="0" w:color="auto"/>
              <w:right w:val="single" w:sz="8" w:space="0" w:color="auto"/>
            </w:tcBorders>
            <w:shd w:val="clear" w:color="000000" w:fill="FDE9D9"/>
            <w:noWrap/>
          </w:tcPr>
          <w:p w14:paraId="3A71A3C5"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2 937,62    </w:t>
            </w:r>
          </w:p>
        </w:tc>
      </w:tr>
      <w:tr w:rsidR="000C6622" w:rsidRPr="000C6622" w14:paraId="626EA7D3"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27593A68"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505</w:t>
            </w:r>
          </w:p>
        </w:tc>
        <w:tc>
          <w:tcPr>
            <w:tcW w:w="1809" w:type="dxa"/>
            <w:tcBorders>
              <w:top w:val="nil"/>
              <w:left w:val="nil"/>
              <w:bottom w:val="single" w:sz="4" w:space="0" w:color="auto"/>
              <w:right w:val="single" w:sz="4" w:space="0" w:color="auto"/>
            </w:tcBorders>
            <w:shd w:val="clear" w:color="000000" w:fill="FDE9D9"/>
            <w:noWrap/>
          </w:tcPr>
          <w:p w14:paraId="25226A3F"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24,23    </w:t>
            </w:r>
          </w:p>
        </w:tc>
        <w:tc>
          <w:tcPr>
            <w:tcW w:w="1984" w:type="dxa"/>
            <w:tcBorders>
              <w:top w:val="nil"/>
              <w:left w:val="nil"/>
              <w:bottom w:val="single" w:sz="4" w:space="0" w:color="auto"/>
              <w:right w:val="single" w:sz="8" w:space="0" w:color="auto"/>
            </w:tcBorders>
            <w:shd w:val="clear" w:color="000000" w:fill="FDE9D9"/>
            <w:noWrap/>
          </w:tcPr>
          <w:p w14:paraId="3452AAC9"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3 674,36    </w:t>
            </w:r>
          </w:p>
        </w:tc>
      </w:tr>
      <w:tr w:rsidR="000C6622" w:rsidRPr="000C6622" w14:paraId="5FD3B095"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4A293C7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555</w:t>
            </w:r>
          </w:p>
        </w:tc>
        <w:tc>
          <w:tcPr>
            <w:tcW w:w="1809" w:type="dxa"/>
            <w:tcBorders>
              <w:top w:val="nil"/>
              <w:left w:val="nil"/>
              <w:bottom w:val="single" w:sz="4" w:space="0" w:color="auto"/>
              <w:right w:val="single" w:sz="4" w:space="0" w:color="auto"/>
            </w:tcBorders>
            <w:shd w:val="clear" w:color="000000" w:fill="FDE9D9"/>
            <w:noWrap/>
          </w:tcPr>
          <w:p w14:paraId="2B009F62"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26,65    </w:t>
            </w:r>
          </w:p>
        </w:tc>
        <w:tc>
          <w:tcPr>
            <w:tcW w:w="1984" w:type="dxa"/>
            <w:tcBorders>
              <w:top w:val="nil"/>
              <w:left w:val="nil"/>
              <w:bottom w:val="single" w:sz="4" w:space="0" w:color="auto"/>
              <w:right w:val="single" w:sz="8" w:space="0" w:color="auto"/>
            </w:tcBorders>
            <w:shd w:val="clear" w:color="000000" w:fill="FDE9D9"/>
            <w:noWrap/>
          </w:tcPr>
          <w:p w14:paraId="51EF2E65"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4 041,95    </w:t>
            </w:r>
          </w:p>
        </w:tc>
      </w:tr>
      <w:tr w:rsidR="000C6622" w:rsidRPr="000C6622" w14:paraId="31A7E823"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572A2071"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605</w:t>
            </w:r>
          </w:p>
        </w:tc>
        <w:tc>
          <w:tcPr>
            <w:tcW w:w="1809" w:type="dxa"/>
            <w:tcBorders>
              <w:top w:val="nil"/>
              <w:left w:val="nil"/>
              <w:bottom w:val="single" w:sz="4" w:space="0" w:color="auto"/>
              <w:right w:val="single" w:sz="4" w:space="0" w:color="auto"/>
            </w:tcBorders>
            <w:shd w:val="clear" w:color="000000" w:fill="FDE9D9"/>
            <w:noWrap/>
          </w:tcPr>
          <w:p w14:paraId="062B6080"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29,06    </w:t>
            </w:r>
          </w:p>
        </w:tc>
        <w:tc>
          <w:tcPr>
            <w:tcW w:w="1984" w:type="dxa"/>
            <w:tcBorders>
              <w:top w:val="nil"/>
              <w:left w:val="nil"/>
              <w:bottom w:val="single" w:sz="4" w:space="0" w:color="auto"/>
              <w:right w:val="single" w:sz="8" w:space="0" w:color="auto"/>
            </w:tcBorders>
            <w:shd w:val="clear" w:color="000000" w:fill="FDE9D9"/>
            <w:noWrap/>
          </w:tcPr>
          <w:p w14:paraId="4921D2FC"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4 407,99    </w:t>
            </w:r>
          </w:p>
        </w:tc>
      </w:tr>
      <w:tr w:rsidR="000C6622" w:rsidRPr="000C6622" w14:paraId="60A97536" w14:textId="77777777" w:rsidTr="00773044">
        <w:trPr>
          <w:trHeight w:val="320"/>
          <w:jc w:val="center"/>
        </w:trPr>
        <w:tc>
          <w:tcPr>
            <w:tcW w:w="1300" w:type="dxa"/>
            <w:tcBorders>
              <w:top w:val="nil"/>
              <w:left w:val="single" w:sz="8" w:space="0" w:color="auto"/>
              <w:bottom w:val="single" w:sz="4" w:space="0" w:color="auto"/>
              <w:right w:val="single" w:sz="4" w:space="0" w:color="auto"/>
            </w:tcBorders>
            <w:shd w:val="clear" w:color="000000" w:fill="FDE9D9"/>
            <w:noWrap/>
            <w:vAlign w:val="center"/>
            <w:hideMark/>
          </w:tcPr>
          <w:p w14:paraId="11815159"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655</w:t>
            </w:r>
          </w:p>
        </w:tc>
        <w:tc>
          <w:tcPr>
            <w:tcW w:w="1809" w:type="dxa"/>
            <w:tcBorders>
              <w:top w:val="nil"/>
              <w:left w:val="nil"/>
              <w:bottom w:val="single" w:sz="4" w:space="0" w:color="auto"/>
              <w:right w:val="single" w:sz="4" w:space="0" w:color="auto"/>
            </w:tcBorders>
            <w:shd w:val="clear" w:color="000000" w:fill="FDE9D9"/>
            <w:noWrap/>
          </w:tcPr>
          <w:p w14:paraId="291A7383"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31,50    </w:t>
            </w:r>
          </w:p>
        </w:tc>
        <w:tc>
          <w:tcPr>
            <w:tcW w:w="1984" w:type="dxa"/>
            <w:tcBorders>
              <w:top w:val="nil"/>
              <w:left w:val="nil"/>
              <w:bottom w:val="single" w:sz="4" w:space="0" w:color="auto"/>
              <w:right w:val="single" w:sz="8" w:space="0" w:color="auto"/>
            </w:tcBorders>
            <w:shd w:val="clear" w:color="000000" w:fill="FDE9D9"/>
            <w:noWrap/>
          </w:tcPr>
          <w:p w14:paraId="76CE3A8F"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4 777,13    </w:t>
            </w:r>
          </w:p>
        </w:tc>
      </w:tr>
      <w:tr w:rsidR="000C6622" w:rsidRPr="000C6622" w14:paraId="39371BDE" w14:textId="77777777" w:rsidTr="00773044">
        <w:trPr>
          <w:trHeight w:val="340"/>
          <w:jc w:val="center"/>
        </w:trPr>
        <w:tc>
          <w:tcPr>
            <w:tcW w:w="1300" w:type="dxa"/>
            <w:tcBorders>
              <w:top w:val="nil"/>
              <w:left w:val="single" w:sz="8" w:space="0" w:color="auto"/>
              <w:bottom w:val="single" w:sz="8" w:space="0" w:color="auto"/>
              <w:right w:val="single" w:sz="4" w:space="0" w:color="auto"/>
            </w:tcBorders>
            <w:shd w:val="clear" w:color="000000" w:fill="FDE9D9"/>
            <w:noWrap/>
            <w:vAlign w:val="center"/>
            <w:hideMark/>
          </w:tcPr>
          <w:p w14:paraId="60027CCB"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705</w:t>
            </w:r>
          </w:p>
        </w:tc>
        <w:tc>
          <w:tcPr>
            <w:tcW w:w="1809" w:type="dxa"/>
            <w:tcBorders>
              <w:top w:val="nil"/>
              <w:left w:val="nil"/>
              <w:bottom w:val="single" w:sz="8" w:space="0" w:color="auto"/>
              <w:right w:val="single" w:sz="4" w:space="0" w:color="auto"/>
            </w:tcBorders>
            <w:shd w:val="clear" w:color="000000" w:fill="FDE9D9"/>
            <w:noWrap/>
          </w:tcPr>
          <w:p w14:paraId="5A7A7254"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33,92    </w:t>
            </w:r>
          </w:p>
        </w:tc>
        <w:tc>
          <w:tcPr>
            <w:tcW w:w="1984" w:type="dxa"/>
            <w:tcBorders>
              <w:top w:val="nil"/>
              <w:left w:val="nil"/>
              <w:bottom w:val="single" w:sz="8" w:space="0" w:color="auto"/>
              <w:right w:val="single" w:sz="8" w:space="0" w:color="auto"/>
            </w:tcBorders>
            <w:shd w:val="clear" w:color="000000" w:fill="FDE9D9"/>
            <w:noWrap/>
          </w:tcPr>
          <w:p w14:paraId="2680E0A7" w14:textId="77777777" w:rsidR="000C6622" w:rsidRPr="000C6622" w:rsidRDefault="000C6622" w:rsidP="000C6622">
            <w:pPr>
              <w:spacing w:after="0" w:line="240" w:lineRule="auto"/>
              <w:jc w:val="center"/>
              <w:rPr>
                <w:rFonts w:ascii="Calibri" w:eastAsia="Times New Roman" w:hAnsi="Calibri" w:cs="Times New Roman"/>
                <w:color w:val="000000"/>
                <w:sz w:val="24"/>
                <w:szCs w:val="24"/>
                <w:lang w:eastAsia="fr-FR"/>
              </w:rPr>
            </w:pPr>
            <w:r w:rsidRPr="000C6622">
              <w:rPr>
                <w:rFonts w:ascii="Calibri" w:eastAsia="Times New Roman" w:hAnsi="Calibri" w:cs="Times New Roman"/>
                <w:color w:val="000000"/>
                <w:sz w:val="24"/>
                <w:szCs w:val="24"/>
                <w:lang w:eastAsia="fr-FR"/>
              </w:rPr>
              <w:t xml:space="preserve"> 5 144,72    </w:t>
            </w:r>
          </w:p>
        </w:tc>
      </w:tr>
    </w:tbl>
    <w:p w14:paraId="1234EC24" w14:textId="77777777" w:rsidR="00441AEB" w:rsidRDefault="00441AEB"/>
    <w:p w14:paraId="1353E86A" w14:textId="77777777" w:rsidR="00441AEB" w:rsidRDefault="00441AEB">
      <w:r>
        <w:br w:type="page"/>
      </w:r>
    </w:p>
    <w:p w14:paraId="1507DAFD" w14:textId="77777777" w:rsidR="00FC4E44" w:rsidRPr="00E34E88" w:rsidRDefault="00FC4E44"/>
    <w:p w14:paraId="6968E364" w14:textId="77777777" w:rsidR="00FC4E44" w:rsidRDefault="00FC4E44" w:rsidP="00FC4E44">
      <w:pPr>
        <w:jc w:val="center"/>
        <w:rPr>
          <w:b/>
          <w:bCs/>
        </w:rPr>
      </w:pPr>
      <w:r w:rsidRPr="00E34E88">
        <w:rPr>
          <w:b/>
          <w:bCs/>
        </w:rPr>
        <w:t xml:space="preserve">ANNEXE </w:t>
      </w:r>
      <w:r w:rsidR="00E34E88" w:rsidRPr="00E34E88">
        <w:rPr>
          <w:b/>
          <w:bCs/>
        </w:rPr>
        <w:t>2</w:t>
      </w:r>
      <w:r w:rsidRPr="00E34E88">
        <w:rPr>
          <w:b/>
          <w:bCs/>
        </w:rPr>
        <w:t xml:space="preserve"> – GRILLE DES VALEURS ABSOLUES DE LA PRIME D’ANCIENNETE ACTUALISEE</w:t>
      </w:r>
    </w:p>
    <w:p w14:paraId="77E8581B" w14:textId="77777777" w:rsidR="00BF7D71" w:rsidRDefault="00BF7D71" w:rsidP="00FC4E44">
      <w:pPr>
        <w:jc w:val="center"/>
        <w:rPr>
          <w:b/>
          <w:bCs/>
        </w:rPr>
      </w:pPr>
    </w:p>
    <w:p w14:paraId="2788E96A" w14:textId="77777777" w:rsidR="00BF7D71" w:rsidRPr="00FC4E44" w:rsidRDefault="00BF7D71" w:rsidP="00FC4E44">
      <w:pPr>
        <w:jc w:val="center"/>
        <w:rPr>
          <w:b/>
          <w:bCs/>
        </w:rPr>
      </w:pPr>
      <w:r>
        <w:rPr>
          <w:b/>
          <w:bCs/>
        </w:rPr>
        <w:t>Avenant 88 du 29 mai 2019</w:t>
      </w:r>
    </w:p>
    <w:p w14:paraId="4A6F46AC" w14:textId="77777777" w:rsidR="00FC4E44" w:rsidRDefault="00FC4E44" w:rsidP="003847E3">
      <w:pPr>
        <w:jc w:val="both"/>
      </w:pPr>
    </w:p>
    <w:tbl>
      <w:tblPr>
        <w:tblW w:w="9320" w:type="dxa"/>
        <w:jc w:val="center"/>
        <w:tblCellMar>
          <w:left w:w="70" w:type="dxa"/>
          <w:right w:w="70" w:type="dxa"/>
        </w:tblCellMar>
        <w:tblLook w:val="04A0" w:firstRow="1" w:lastRow="0" w:firstColumn="1" w:lastColumn="0" w:noHBand="0" w:noVBand="1"/>
      </w:tblPr>
      <w:tblGrid>
        <w:gridCol w:w="1340"/>
        <w:gridCol w:w="1330"/>
        <w:gridCol w:w="1330"/>
        <w:gridCol w:w="1330"/>
        <w:gridCol w:w="1330"/>
        <w:gridCol w:w="1330"/>
        <w:gridCol w:w="1330"/>
      </w:tblGrid>
      <w:tr w:rsidR="00BF7D71" w:rsidRPr="00BF7D71" w14:paraId="2D6217FF" w14:textId="77777777" w:rsidTr="00773044">
        <w:trPr>
          <w:trHeight w:val="340"/>
          <w:jc w:val="center"/>
        </w:trPr>
        <w:tc>
          <w:tcPr>
            <w:tcW w:w="1340" w:type="dxa"/>
            <w:tcBorders>
              <w:top w:val="single" w:sz="8" w:space="0" w:color="auto"/>
              <w:left w:val="single" w:sz="8" w:space="0" w:color="auto"/>
              <w:bottom w:val="single" w:sz="4" w:space="0" w:color="auto"/>
              <w:right w:val="single" w:sz="8" w:space="0" w:color="auto"/>
            </w:tcBorders>
            <w:shd w:val="clear" w:color="auto" w:fill="auto"/>
            <w:hideMark/>
          </w:tcPr>
          <w:p w14:paraId="29F7130C"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 </w:t>
            </w:r>
          </w:p>
        </w:tc>
        <w:tc>
          <w:tcPr>
            <w:tcW w:w="6650" w:type="dxa"/>
            <w:gridSpan w:val="5"/>
            <w:tcBorders>
              <w:top w:val="single" w:sz="8" w:space="0" w:color="auto"/>
              <w:left w:val="nil"/>
              <w:bottom w:val="single" w:sz="8" w:space="0" w:color="auto"/>
              <w:right w:val="single" w:sz="4" w:space="0" w:color="auto"/>
            </w:tcBorders>
            <w:shd w:val="clear" w:color="auto" w:fill="auto"/>
            <w:hideMark/>
          </w:tcPr>
          <w:p w14:paraId="06A26FAE"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VA</w:t>
            </w:r>
          </w:p>
        </w:tc>
        <w:tc>
          <w:tcPr>
            <w:tcW w:w="1330" w:type="dxa"/>
            <w:tcBorders>
              <w:left w:val="single" w:sz="4" w:space="0" w:color="auto"/>
              <w:bottom w:val="single" w:sz="4" w:space="0" w:color="auto"/>
            </w:tcBorders>
          </w:tcPr>
          <w:p w14:paraId="20A32228"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p>
        </w:tc>
      </w:tr>
      <w:tr w:rsidR="00BF7D71" w:rsidRPr="00BF7D71" w14:paraId="3424751E" w14:textId="77777777" w:rsidTr="00773044">
        <w:trPr>
          <w:trHeight w:val="320"/>
          <w:jc w:val="center"/>
        </w:trPr>
        <w:tc>
          <w:tcPr>
            <w:tcW w:w="1340"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273F65B5"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Coefficients</w:t>
            </w:r>
          </w:p>
        </w:tc>
        <w:tc>
          <w:tcPr>
            <w:tcW w:w="1330" w:type="dxa"/>
            <w:tcBorders>
              <w:top w:val="nil"/>
              <w:left w:val="single" w:sz="4" w:space="0" w:color="auto"/>
              <w:bottom w:val="nil"/>
              <w:right w:val="single" w:sz="8" w:space="0" w:color="auto"/>
            </w:tcBorders>
            <w:shd w:val="clear" w:color="auto" w:fill="auto"/>
            <w:hideMark/>
          </w:tcPr>
          <w:p w14:paraId="462DA2F3"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Après 3 ans</w:t>
            </w:r>
          </w:p>
        </w:tc>
        <w:tc>
          <w:tcPr>
            <w:tcW w:w="1330" w:type="dxa"/>
            <w:tcBorders>
              <w:top w:val="nil"/>
              <w:left w:val="nil"/>
              <w:bottom w:val="nil"/>
              <w:right w:val="single" w:sz="8" w:space="0" w:color="auto"/>
            </w:tcBorders>
            <w:shd w:val="clear" w:color="auto" w:fill="auto"/>
            <w:hideMark/>
          </w:tcPr>
          <w:p w14:paraId="5FD12815"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Après 6 ans</w:t>
            </w:r>
          </w:p>
        </w:tc>
        <w:tc>
          <w:tcPr>
            <w:tcW w:w="1330" w:type="dxa"/>
            <w:tcBorders>
              <w:top w:val="nil"/>
              <w:left w:val="nil"/>
              <w:bottom w:val="nil"/>
              <w:right w:val="single" w:sz="8" w:space="0" w:color="auto"/>
            </w:tcBorders>
            <w:shd w:val="clear" w:color="auto" w:fill="auto"/>
            <w:hideMark/>
          </w:tcPr>
          <w:p w14:paraId="75FB855E"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Après 9 ans</w:t>
            </w:r>
          </w:p>
        </w:tc>
        <w:tc>
          <w:tcPr>
            <w:tcW w:w="1330" w:type="dxa"/>
            <w:tcBorders>
              <w:top w:val="nil"/>
              <w:left w:val="nil"/>
              <w:bottom w:val="nil"/>
              <w:right w:val="single" w:sz="8" w:space="0" w:color="auto"/>
            </w:tcBorders>
            <w:shd w:val="clear" w:color="auto" w:fill="auto"/>
            <w:hideMark/>
          </w:tcPr>
          <w:p w14:paraId="4D385BE3"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Après 12 ans</w:t>
            </w:r>
          </w:p>
        </w:tc>
        <w:tc>
          <w:tcPr>
            <w:tcW w:w="1330" w:type="dxa"/>
            <w:tcBorders>
              <w:top w:val="nil"/>
              <w:left w:val="nil"/>
              <w:bottom w:val="nil"/>
              <w:right w:val="single" w:sz="8" w:space="0" w:color="auto"/>
            </w:tcBorders>
            <w:shd w:val="clear" w:color="auto" w:fill="auto"/>
            <w:hideMark/>
          </w:tcPr>
          <w:p w14:paraId="0629ED4F"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Après 15 ans</w:t>
            </w:r>
          </w:p>
        </w:tc>
        <w:tc>
          <w:tcPr>
            <w:tcW w:w="1330" w:type="dxa"/>
            <w:tcBorders>
              <w:top w:val="single" w:sz="4" w:space="0" w:color="auto"/>
              <w:left w:val="nil"/>
              <w:bottom w:val="nil"/>
              <w:right w:val="single" w:sz="8" w:space="0" w:color="auto"/>
            </w:tcBorders>
          </w:tcPr>
          <w:p w14:paraId="11819B03"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r w:rsidRPr="00BF7D71">
              <w:rPr>
                <w:rFonts w:ascii="Garamond" w:eastAsia="Times New Roman" w:hAnsi="Garamond" w:cs="Times New Roman"/>
                <w:b/>
                <w:bCs/>
                <w:color w:val="000000"/>
                <w:lang w:eastAsia="fr-FR"/>
              </w:rPr>
              <w:t>Après 20 ans</w:t>
            </w:r>
          </w:p>
        </w:tc>
      </w:tr>
      <w:tr w:rsidR="00BF7D71" w:rsidRPr="00BF7D71" w14:paraId="27658D24" w14:textId="77777777" w:rsidTr="00773044">
        <w:trPr>
          <w:trHeight w:val="440"/>
          <w:jc w:val="center"/>
        </w:trPr>
        <w:tc>
          <w:tcPr>
            <w:tcW w:w="1340" w:type="dxa"/>
            <w:vMerge/>
            <w:tcBorders>
              <w:top w:val="nil"/>
              <w:left w:val="single" w:sz="4" w:space="0" w:color="auto"/>
              <w:bottom w:val="single" w:sz="8" w:space="0" w:color="000000"/>
              <w:right w:val="single" w:sz="4" w:space="0" w:color="auto"/>
            </w:tcBorders>
            <w:hideMark/>
          </w:tcPr>
          <w:p w14:paraId="75ADCE1F" w14:textId="77777777" w:rsidR="00BF7D71" w:rsidRPr="00BF7D71" w:rsidRDefault="00BF7D71" w:rsidP="00BF7D71">
            <w:pPr>
              <w:spacing w:after="0" w:line="240" w:lineRule="auto"/>
              <w:rPr>
                <w:rFonts w:ascii="Garamond" w:eastAsia="Times New Roman" w:hAnsi="Garamond" w:cs="Times New Roman"/>
                <w:b/>
                <w:bCs/>
                <w:color w:val="000000"/>
                <w:lang w:eastAsia="fr-FR"/>
              </w:rPr>
            </w:pPr>
          </w:p>
        </w:tc>
        <w:tc>
          <w:tcPr>
            <w:tcW w:w="1330" w:type="dxa"/>
            <w:tcBorders>
              <w:top w:val="nil"/>
              <w:left w:val="single" w:sz="4" w:space="0" w:color="auto"/>
              <w:bottom w:val="single" w:sz="8" w:space="0" w:color="auto"/>
              <w:right w:val="single" w:sz="8" w:space="0" w:color="auto"/>
            </w:tcBorders>
            <w:shd w:val="clear" w:color="auto" w:fill="auto"/>
            <w:hideMark/>
          </w:tcPr>
          <w:p w14:paraId="27C96D61"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proofErr w:type="gramStart"/>
            <w:r w:rsidRPr="00BF7D71">
              <w:rPr>
                <w:rFonts w:ascii="Garamond" w:eastAsia="Times New Roman" w:hAnsi="Garamond" w:cs="Times New Roman"/>
                <w:b/>
                <w:bCs/>
                <w:color w:val="000000"/>
                <w:lang w:eastAsia="fr-FR"/>
              </w:rPr>
              <w:t>d’ancienneté</w:t>
            </w:r>
            <w:proofErr w:type="gramEnd"/>
          </w:p>
        </w:tc>
        <w:tc>
          <w:tcPr>
            <w:tcW w:w="1330" w:type="dxa"/>
            <w:tcBorders>
              <w:top w:val="nil"/>
              <w:left w:val="nil"/>
              <w:bottom w:val="single" w:sz="8" w:space="0" w:color="auto"/>
              <w:right w:val="single" w:sz="8" w:space="0" w:color="auto"/>
            </w:tcBorders>
            <w:shd w:val="clear" w:color="auto" w:fill="auto"/>
            <w:hideMark/>
          </w:tcPr>
          <w:p w14:paraId="7575EE4A"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proofErr w:type="gramStart"/>
            <w:r w:rsidRPr="00BF7D71">
              <w:rPr>
                <w:rFonts w:ascii="Garamond" w:eastAsia="Times New Roman" w:hAnsi="Garamond" w:cs="Times New Roman"/>
                <w:b/>
                <w:bCs/>
                <w:color w:val="000000"/>
                <w:lang w:eastAsia="fr-FR"/>
              </w:rPr>
              <w:t>d’ancienneté</w:t>
            </w:r>
            <w:proofErr w:type="gramEnd"/>
          </w:p>
        </w:tc>
        <w:tc>
          <w:tcPr>
            <w:tcW w:w="1330" w:type="dxa"/>
            <w:tcBorders>
              <w:top w:val="nil"/>
              <w:left w:val="nil"/>
              <w:bottom w:val="single" w:sz="8" w:space="0" w:color="auto"/>
              <w:right w:val="single" w:sz="8" w:space="0" w:color="auto"/>
            </w:tcBorders>
            <w:shd w:val="clear" w:color="auto" w:fill="auto"/>
            <w:hideMark/>
          </w:tcPr>
          <w:p w14:paraId="484374BC"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proofErr w:type="gramStart"/>
            <w:r w:rsidRPr="00BF7D71">
              <w:rPr>
                <w:rFonts w:ascii="Garamond" w:eastAsia="Times New Roman" w:hAnsi="Garamond" w:cs="Times New Roman"/>
                <w:b/>
                <w:bCs/>
                <w:color w:val="000000"/>
                <w:lang w:eastAsia="fr-FR"/>
              </w:rPr>
              <w:t>d’ancienneté</w:t>
            </w:r>
            <w:proofErr w:type="gramEnd"/>
          </w:p>
        </w:tc>
        <w:tc>
          <w:tcPr>
            <w:tcW w:w="1330" w:type="dxa"/>
            <w:tcBorders>
              <w:top w:val="nil"/>
              <w:left w:val="nil"/>
              <w:bottom w:val="single" w:sz="8" w:space="0" w:color="auto"/>
              <w:right w:val="single" w:sz="8" w:space="0" w:color="auto"/>
            </w:tcBorders>
            <w:shd w:val="clear" w:color="auto" w:fill="auto"/>
            <w:hideMark/>
          </w:tcPr>
          <w:p w14:paraId="5EE220D8"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proofErr w:type="gramStart"/>
            <w:r w:rsidRPr="00BF7D71">
              <w:rPr>
                <w:rFonts w:ascii="Garamond" w:eastAsia="Times New Roman" w:hAnsi="Garamond" w:cs="Times New Roman"/>
                <w:b/>
                <w:bCs/>
                <w:color w:val="000000"/>
                <w:lang w:eastAsia="fr-FR"/>
              </w:rPr>
              <w:t>d’ancienneté</w:t>
            </w:r>
            <w:proofErr w:type="gramEnd"/>
          </w:p>
        </w:tc>
        <w:tc>
          <w:tcPr>
            <w:tcW w:w="1330" w:type="dxa"/>
            <w:tcBorders>
              <w:top w:val="nil"/>
              <w:left w:val="nil"/>
              <w:bottom w:val="single" w:sz="8" w:space="0" w:color="auto"/>
              <w:right w:val="single" w:sz="8" w:space="0" w:color="auto"/>
            </w:tcBorders>
            <w:shd w:val="clear" w:color="auto" w:fill="auto"/>
            <w:hideMark/>
          </w:tcPr>
          <w:p w14:paraId="2412E26D"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proofErr w:type="gramStart"/>
            <w:r w:rsidRPr="00BF7D71">
              <w:rPr>
                <w:rFonts w:ascii="Garamond" w:eastAsia="Times New Roman" w:hAnsi="Garamond" w:cs="Times New Roman"/>
                <w:b/>
                <w:bCs/>
                <w:color w:val="000000"/>
                <w:lang w:eastAsia="fr-FR"/>
              </w:rPr>
              <w:t>d’ancienneté</w:t>
            </w:r>
            <w:proofErr w:type="gramEnd"/>
          </w:p>
        </w:tc>
        <w:tc>
          <w:tcPr>
            <w:tcW w:w="1330" w:type="dxa"/>
            <w:tcBorders>
              <w:top w:val="nil"/>
              <w:left w:val="nil"/>
              <w:bottom w:val="single" w:sz="8" w:space="0" w:color="auto"/>
              <w:right w:val="single" w:sz="8" w:space="0" w:color="auto"/>
            </w:tcBorders>
          </w:tcPr>
          <w:p w14:paraId="03852EEB" w14:textId="77777777" w:rsidR="00BF7D71" w:rsidRPr="00BF7D71" w:rsidRDefault="00BF7D71" w:rsidP="00BF7D71">
            <w:pPr>
              <w:spacing w:after="0" w:line="240" w:lineRule="auto"/>
              <w:jc w:val="center"/>
              <w:rPr>
                <w:rFonts w:ascii="Garamond" w:eastAsia="Times New Roman" w:hAnsi="Garamond" w:cs="Times New Roman"/>
                <w:b/>
                <w:bCs/>
                <w:color w:val="000000"/>
                <w:lang w:eastAsia="fr-FR"/>
              </w:rPr>
            </w:pPr>
            <w:proofErr w:type="gramStart"/>
            <w:r w:rsidRPr="00BF7D71">
              <w:rPr>
                <w:rFonts w:ascii="Garamond" w:eastAsia="Times New Roman" w:hAnsi="Garamond" w:cs="Times New Roman"/>
                <w:b/>
                <w:bCs/>
                <w:color w:val="000000"/>
                <w:lang w:eastAsia="fr-FR"/>
              </w:rPr>
              <w:t>d’ancienneté</w:t>
            </w:r>
            <w:proofErr w:type="gramEnd"/>
          </w:p>
        </w:tc>
      </w:tr>
      <w:tr w:rsidR="00BF7D71" w:rsidRPr="00BF7D71" w14:paraId="518D7BC0"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7DE47883"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125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40F0430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0,196</w:t>
            </w:r>
          </w:p>
        </w:tc>
        <w:tc>
          <w:tcPr>
            <w:tcW w:w="1330" w:type="dxa"/>
            <w:tcBorders>
              <w:top w:val="single" w:sz="4" w:space="0" w:color="auto"/>
              <w:left w:val="nil"/>
              <w:bottom w:val="nil"/>
              <w:right w:val="single" w:sz="4" w:space="0" w:color="auto"/>
            </w:tcBorders>
            <w:shd w:val="clear" w:color="auto" w:fill="auto"/>
            <w:noWrap/>
            <w:vAlign w:val="center"/>
          </w:tcPr>
          <w:p w14:paraId="5C4782A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0,392</w:t>
            </w:r>
          </w:p>
        </w:tc>
        <w:tc>
          <w:tcPr>
            <w:tcW w:w="1330" w:type="dxa"/>
            <w:tcBorders>
              <w:top w:val="single" w:sz="4" w:space="0" w:color="auto"/>
              <w:left w:val="nil"/>
              <w:bottom w:val="nil"/>
              <w:right w:val="single" w:sz="4" w:space="0" w:color="auto"/>
            </w:tcBorders>
            <w:shd w:val="clear" w:color="auto" w:fill="auto"/>
            <w:noWrap/>
            <w:vAlign w:val="center"/>
          </w:tcPr>
          <w:p w14:paraId="3E6C6C8E"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0,589</w:t>
            </w:r>
          </w:p>
        </w:tc>
        <w:tc>
          <w:tcPr>
            <w:tcW w:w="1330" w:type="dxa"/>
            <w:tcBorders>
              <w:top w:val="single" w:sz="4" w:space="0" w:color="auto"/>
              <w:left w:val="nil"/>
              <w:bottom w:val="nil"/>
              <w:right w:val="single" w:sz="4" w:space="0" w:color="auto"/>
            </w:tcBorders>
            <w:shd w:val="clear" w:color="auto" w:fill="auto"/>
            <w:noWrap/>
            <w:vAlign w:val="center"/>
          </w:tcPr>
          <w:p w14:paraId="608D514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0,786</w:t>
            </w:r>
          </w:p>
        </w:tc>
        <w:tc>
          <w:tcPr>
            <w:tcW w:w="1330" w:type="dxa"/>
            <w:tcBorders>
              <w:top w:val="single" w:sz="4" w:space="0" w:color="auto"/>
              <w:left w:val="nil"/>
              <w:bottom w:val="nil"/>
              <w:right w:val="single" w:sz="4" w:space="0" w:color="auto"/>
            </w:tcBorders>
            <w:shd w:val="clear" w:color="auto" w:fill="auto"/>
            <w:noWrap/>
            <w:vAlign w:val="center"/>
          </w:tcPr>
          <w:p w14:paraId="2874453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0,982</w:t>
            </w:r>
          </w:p>
        </w:tc>
        <w:tc>
          <w:tcPr>
            <w:tcW w:w="1330" w:type="dxa"/>
            <w:vMerge w:val="restart"/>
            <w:tcBorders>
              <w:top w:val="single" w:sz="4" w:space="0" w:color="auto"/>
              <w:left w:val="nil"/>
              <w:right w:val="single" w:sz="4" w:space="0" w:color="auto"/>
            </w:tcBorders>
          </w:tcPr>
          <w:p w14:paraId="0F905E2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307975E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3EAC25E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6D37281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78091ED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10F20CE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30E4F2A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5A3E8FA4"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2D197AA5"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4582CD4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460A059E"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09865CA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029D8635"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70324551"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539A18C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p w14:paraId="59B49D45"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 xml:space="preserve">+ </w:t>
            </w:r>
          </w:p>
          <w:p w14:paraId="0102554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20 € *</w:t>
            </w:r>
          </w:p>
        </w:tc>
      </w:tr>
      <w:tr w:rsidR="00BF7D71" w:rsidRPr="00BF7D71" w14:paraId="415D7BDB"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3BD14620"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135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667C029A"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0,198</w:t>
            </w:r>
          </w:p>
        </w:tc>
        <w:tc>
          <w:tcPr>
            <w:tcW w:w="1330" w:type="dxa"/>
            <w:tcBorders>
              <w:top w:val="single" w:sz="4" w:space="0" w:color="auto"/>
              <w:left w:val="nil"/>
              <w:bottom w:val="nil"/>
              <w:right w:val="single" w:sz="4" w:space="0" w:color="auto"/>
            </w:tcBorders>
            <w:shd w:val="clear" w:color="auto" w:fill="auto"/>
            <w:noWrap/>
            <w:vAlign w:val="center"/>
          </w:tcPr>
          <w:p w14:paraId="3E7CCB00"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0,397</w:t>
            </w:r>
          </w:p>
        </w:tc>
        <w:tc>
          <w:tcPr>
            <w:tcW w:w="1330" w:type="dxa"/>
            <w:tcBorders>
              <w:top w:val="single" w:sz="4" w:space="0" w:color="auto"/>
              <w:left w:val="nil"/>
              <w:bottom w:val="nil"/>
              <w:right w:val="single" w:sz="4" w:space="0" w:color="auto"/>
            </w:tcBorders>
            <w:shd w:val="clear" w:color="auto" w:fill="auto"/>
            <w:noWrap/>
            <w:vAlign w:val="center"/>
          </w:tcPr>
          <w:p w14:paraId="54849EE8"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0,596</w:t>
            </w:r>
          </w:p>
        </w:tc>
        <w:tc>
          <w:tcPr>
            <w:tcW w:w="1330" w:type="dxa"/>
            <w:tcBorders>
              <w:top w:val="single" w:sz="4" w:space="0" w:color="auto"/>
              <w:left w:val="nil"/>
              <w:bottom w:val="nil"/>
              <w:right w:val="single" w:sz="4" w:space="0" w:color="auto"/>
            </w:tcBorders>
            <w:shd w:val="clear" w:color="auto" w:fill="auto"/>
            <w:noWrap/>
            <w:vAlign w:val="center"/>
          </w:tcPr>
          <w:p w14:paraId="7ED1174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0,793</w:t>
            </w:r>
          </w:p>
        </w:tc>
        <w:tc>
          <w:tcPr>
            <w:tcW w:w="1330" w:type="dxa"/>
            <w:tcBorders>
              <w:top w:val="single" w:sz="4" w:space="0" w:color="auto"/>
              <w:left w:val="nil"/>
              <w:bottom w:val="nil"/>
              <w:right w:val="single" w:sz="4" w:space="0" w:color="auto"/>
            </w:tcBorders>
            <w:shd w:val="clear" w:color="auto" w:fill="auto"/>
            <w:noWrap/>
            <w:vAlign w:val="center"/>
          </w:tcPr>
          <w:p w14:paraId="3677C9D4"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0,991</w:t>
            </w:r>
          </w:p>
        </w:tc>
        <w:tc>
          <w:tcPr>
            <w:tcW w:w="1330" w:type="dxa"/>
            <w:vMerge/>
            <w:tcBorders>
              <w:left w:val="nil"/>
              <w:right w:val="single" w:sz="4" w:space="0" w:color="auto"/>
            </w:tcBorders>
          </w:tcPr>
          <w:p w14:paraId="2C869060"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2393B301"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3A655740"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145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5CD11228"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0,200</w:t>
            </w:r>
          </w:p>
        </w:tc>
        <w:tc>
          <w:tcPr>
            <w:tcW w:w="1330" w:type="dxa"/>
            <w:tcBorders>
              <w:top w:val="single" w:sz="4" w:space="0" w:color="auto"/>
              <w:left w:val="nil"/>
              <w:bottom w:val="nil"/>
              <w:right w:val="single" w:sz="4" w:space="0" w:color="auto"/>
            </w:tcBorders>
            <w:shd w:val="clear" w:color="auto" w:fill="auto"/>
            <w:noWrap/>
            <w:vAlign w:val="center"/>
          </w:tcPr>
          <w:p w14:paraId="5BB2758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0,401</w:t>
            </w:r>
          </w:p>
        </w:tc>
        <w:tc>
          <w:tcPr>
            <w:tcW w:w="1330" w:type="dxa"/>
            <w:tcBorders>
              <w:top w:val="single" w:sz="4" w:space="0" w:color="auto"/>
              <w:left w:val="nil"/>
              <w:bottom w:val="nil"/>
              <w:right w:val="single" w:sz="4" w:space="0" w:color="auto"/>
            </w:tcBorders>
            <w:shd w:val="clear" w:color="auto" w:fill="auto"/>
            <w:noWrap/>
            <w:vAlign w:val="center"/>
          </w:tcPr>
          <w:p w14:paraId="6854871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0,601</w:t>
            </w:r>
          </w:p>
        </w:tc>
        <w:tc>
          <w:tcPr>
            <w:tcW w:w="1330" w:type="dxa"/>
            <w:tcBorders>
              <w:top w:val="single" w:sz="4" w:space="0" w:color="auto"/>
              <w:left w:val="nil"/>
              <w:bottom w:val="nil"/>
              <w:right w:val="single" w:sz="4" w:space="0" w:color="auto"/>
            </w:tcBorders>
            <w:shd w:val="clear" w:color="auto" w:fill="auto"/>
            <w:noWrap/>
            <w:vAlign w:val="center"/>
          </w:tcPr>
          <w:p w14:paraId="0DCED07A"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0,801</w:t>
            </w:r>
          </w:p>
        </w:tc>
        <w:tc>
          <w:tcPr>
            <w:tcW w:w="1330" w:type="dxa"/>
            <w:tcBorders>
              <w:top w:val="single" w:sz="4" w:space="0" w:color="auto"/>
              <w:left w:val="nil"/>
              <w:bottom w:val="nil"/>
              <w:right w:val="single" w:sz="4" w:space="0" w:color="auto"/>
            </w:tcBorders>
            <w:shd w:val="clear" w:color="auto" w:fill="auto"/>
            <w:noWrap/>
            <w:vAlign w:val="center"/>
          </w:tcPr>
          <w:p w14:paraId="5220935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1,003</w:t>
            </w:r>
          </w:p>
        </w:tc>
        <w:tc>
          <w:tcPr>
            <w:tcW w:w="1330" w:type="dxa"/>
            <w:vMerge/>
            <w:tcBorders>
              <w:left w:val="nil"/>
              <w:right w:val="single" w:sz="4" w:space="0" w:color="auto"/>
            </w:tcBorders>
          </w:tcPr>
          <w:p w14:paraId="46C235B8"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3D116334"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7446FB10"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155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621A7C8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0,202</w:t>
            </w:r>
          </w:p>
        </w:tc>
        <w:tc>
          <w:tcPr>
            <w:tcW w:w="1330" w:type="dxa"/>
            <w:tcBorders>
              <w:top w:val="single" w:sz="4" w:space="0" w:color="auto"/>
              <w:left w:val="nil"/>
              <w:bottom w:val="nil"/>
              <w:right w:val="single" w:sz="4" w:space="0" w:color="auto"/>
            </w:tcBorders>
            <w:shd w:val="clear" w:color="auto" w:fill="auto"/>
            <w:noWrap/>
            <w:vAlign w:val="center"/>
          </w:tcPr>
          <w:p w14:paraId="2D27966A"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0,406</w:t>
            </w:r>
          </w:p>
        </w:tc>
        <w:tc>
          <w:tcPr>
            <w:tcW w:w="1330" w:type="dxa"/>
            <w:tcBorders>
              <w:top w:val="single" w:sz="4" w:space="0" w:color="auto"/>
              <w:left w:val="nil"/>
              <w:bottom w:val="nil"/>
              <w:right w:val="single" w:sz="4" w:space="0" w:color="auto"/>
            </w:tcBorders>
            <w:shd w:val="clear" w:color="auto" w:fill="auto"/>
            <w:noWrap/>
            <w:vAlign w:val="center"/>
          </w:tcPr>
          <w:p w14:paraId="62C23EC4"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0,608</w:t>
            </w:r>
          </w:p>
        </w:tc>
        <w:tc>
          <w:tcPr>
            <w:tcW w:w="1330" w:type="dxa"/>
            <w:tcBorders>
              <w:top w:val="single" w:sz="4" w:space="0" w:color="auto"/>
              <w:left w:val="nil"/>
              <w:bottom w:val="nil"/>
              <w:right w:val="single" w:sz="4" w:space="0" w:color="auto"/>
            </w:tcBorders>
            <w:shd w:val="clear" w:color="auto" w:fill="auto"/>
            <w:noWrap/>
            <w:vAlign w:val="center"/>
          </w:tcPr>
          <w:p w14:paraId="50EED25F"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0,812</w:t>
            </w:r>
          </w:p>
        </w:tc>
        <w:tc>
          <w:tcPr>
            <w:tcW w:w="1330" w:type="dxa"/>
            <w:tcBorders>
              <w:top w:val="single" w:sz="4" w:space="0" w:color="auto"/>
              <w:left w:val="nil"/>
              <w:bottom w:val="nil"/>
              <w:right w:val="single" w:sz="4" w:space="0" w:color="auto"/>
            </w:tcBorders>
            <w:shd w:val="clear" w:color="auto" w:fill="auto"/>
            <w:noWrap/>
            <w:vAlign w:val="center"/>
          </w:tcPr>
          <w:p w14:paraId="7509794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1,014</w:t>
            </w:r>
          </w:p>
        </w:tc>
        <w:tc>
          <w:tcPr>
            <w:tcW w:w="1330" w:type="dxa"/>
            <w:vMerge/>
            <w:tcBorders>
              <w:left w:val="nil"/>
              <w:right w:val="single" w:sz="4" w:space="0" w:color="auto"/>
            </w:tcBorders>
          </w:tcPr>
          <w:p w14:paraId="077F634E"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6588EA97"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5F17A0C0"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175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287EBDF1"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0,211</w:t>
            </w:r>
          </w:p>
        </w:tc>
        <w:tc>
          <w:tcPr>
            <w:tcW w:w="1330" w:type="dxa"/>
            <w:tcBorders>
              <w:top w:val="single" w:sz="4" w:space="0" w:color="auto"/>
              <w:left w:val="nil"/>
              <w:bottom w:val="nil"/>
              <w:right w:val="single" w:sz="4" w:space="0" w:color="auto"/>
            </w:tcBorders>
            <w:shd w:val="clear" w:color="auto" w:fill="auto"/>
            <w:noWrap/>
            <w:vAlign w:val="center"/>
          </w:tcPr>
          <w:p w14:paraId="21499860"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0,419</w:t>
            </w:r>
          </w:p>
        </w:tc>
        <w:tc>
          <w:tcPr>
            <w:tcW w:w="1330" w:type="dxa"/>
            <w:tcBorders>
              <w:top w:val="single" w:sz="4" w:space="0" w:color="auto"/>
              <w:left w:val="nil"/>
              <w:bottom w:val="nil"/>
              <w:right w:val="single" w:sz="4" w:space="0" w:color="auto"/>
            </w:tcBorders>
            <w:shd w:val="clear" w:color="auto" w:fill="auto"/>
            <w:noWrap/>
            <w:vAlign w:val="center"/>
          </w:tcPr>
          <w:p w14:paraId="1F675BD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0,630</w:t>
            </w:r>
          </w:p>
        </w:tc>
        <w:tc>
          <w:tcPr>
            <w:tcW w:w="1330" w:type="dxa"/>
            <w:tcBorders>
              <w:top w:val="single" w:sz="4" w:space="0" w:color="auto"/>
              <w:left w:val="nil"/>
              <w:bottom w:val="nil"/>
              <w:right w:val="single" w:sz="4" w:space="0" w:color="auto"/>
            </w:tcBorders>
            <w:shd w:val="clear" w:color="auto" w:fill="auto"/>
            <w:noWrap/>
            <w:vAlign w:val="center"/>
          </w:tcPr>
          <w:p w14:paraId="5B3B0D16"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0,841</w:t>
            </w:r>
          </w:p>
        </w:tc>
        <w:tc>
          <w:tcPr>
            <w:tcW w:w="1330" w:type="dxa"/>
            <w:tcBorders>
              <w:top w:val="single" w:sz="4" w:space="0" w:color="auto"/>
              <w:left w:val="nil"/>
              <w:bottom w:val="nil"/>
              <w:right w:val="single" w:sz="4" w:space="0" w:color="auto"/>
            </w:tcBorders>
            <w:shd w:val="clear" w:color="auto" w:fill="auto"/>
            <w:noWrap/>
            <w:vAlign w:val="center"/>
          </w:tcPr>
          <w:p w14:paraId="0371F7D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1,049</w:t>
            </w:r>
          </w:p>
        </w:tc>
        <w:tc>
          <w:tcPr>
            <w:tcW w:w="1330" w:type="dxa"/>
            <w:vMerge/>
            <w:tcBorders>
              <w:left w:val="nil"/>
              <w:right w:val="single" w:sz="4" w:space="0" w:color="auto"/>
            </w:tcBorders>
          </w:tcPr>
          <w:p w14:paraId="463E77DB"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1351FF41"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509CA17C"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195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23EBEAD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0,221</w:t>
            </w:r>
          </w:p>
        </w:tc>
        <w:tc>
          <w:tcPr>
            <w:tcW w:w="1330" w:type="dxa"/>
            <w:tcBorders>
              <w:top w:val="single" w:sz="4" w:space="0" w:color="auto"/>
              <w:left w:val="nil"/>
              <w:bottom w:val="nil"/>
              <w:right w:val="single" w:sz="4" w:space="0" w:color="auto"/>
            </w:tcBorders>
            <w:shd w:val="clear" w:color="auto" w:fill="auto"/>
            <w:noWrap/>
            <w:vAlign w:val="center"/>
          </w:tcPr>
          <w:p w14:paraId="2C9CF6F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0,442</w:t>
            </w:r>
          </w:p>
        </w:tc>
        <w:tc>
          <w:tcPr>
            <w:tcW w:w="1330" w:type="dxa"/>
            <w:tcBorders>
              <w:top w:val="single" w:sz="4" w:space="0" w:color="auto"/>
              <w:left w:val="nil"/>
              <w:bottom w:val="nil"/>
              <w:right w:val="single" w:sz="4" w:space="0" w:color="auto"/>
            </w:tcBorders>
            <w:shd w:val="clear" w:color="auto" w:fill="auto"/>
            <w:noWrap/>
            <w:vAlign w:val="center"/>
          </w:tcPr>
          <w:p w14:paraId="1CBA8EA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0,665</w:t>
            </w:r>
          </w:p>
        </w:tc>
        <w:tc>
          <w:tcPr>
            <w:tcW w:w="1330" w:type="dxa"/>
            <w:tcBorders>
              <w:top w:val="single" w:sz="4" w:space="0" w:color="auto"/>
              <w:left w:val="nil"/>
              <w:bottom w:val="nil"/>
              <w:right w:val="single" w:sz="4" w:space="0" w:color="auto"/>
            </w:tcBorders>
            <w:shd w:val="clear" w:color="auto" w:fill="auto"/>
            <w:noWrap/>
            <w:vAlign w:val="center"/>
          </w:tcPr>
          <w:p w14:paraId="3BFECC3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0,886</w:t>
            </w:r>
          </w:p>
        </w:tc>
        <w:tc>
          <w:tcPr>
            <w:tcW w:w="1330" w:type="dxa"/>
            <w:tcBorders>
              <w:top w:val="single" w:sz="4" w:space="0" w:color="auto"/>
              <w:left w:val="nil"/>
              <w:bottom w:val="nil"/>
              <w:right w:val="single" w:sz="4" w:space="0" w:color="auto"/>
            </w:tcBorders>
            <w:shd w:val="clear" w:color="auto" w:fill="auto"/>
            <w:noWrap/>
            <w:vAlign w:val="center"/>
          </w:tcPr>
          <w:p w14:paraId="38EC70DB"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1,107</w:t>
            </w:r>
          </w:p>
        </w:tc>
        <w:tc>
          <w:tcPr>
            <w:tcW w:w="1330" w:type="dxa"/>
            <w:vMerge/>
            <w:tcBorders>
              <w:left w:val="nil"/>
              <w:right w:val="single" w:sz="4" w:space="0" w:color="auto"/>
            </w:tcBorders>
          </w:tcPr>
          <w:p w14:paraId="61B2617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54338831"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4BBA1F1A"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205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3E481504"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0,226</w:t>
            </w:r>
          </w:p>
        </w:tc>
        <w:tc>
          <w:tcPr>
            <w:tcW w:w="1330" w:type="dxa"/>
            <w:tcBorders>
              <w:top w:val="single" w:sz="4" w:space="0" w:color="auto"/>
              <w:left w:val="nil"/>
              <w:bottom w:val="nil"/>
              <w:right w:val="single" w:sz="4" w:space="0" w:color="auto"/>
            </w:tcBorders>
            <w:shd w:val="clear" w:color="auto" w:fill="auto"/>
            <w:noWrap/>
            <w:vAlign w:val="center"/>
          </w:tcPr>
          <w:p w14:paraId="6E5B1BDB"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0,453</w:t>
            </w:r>
          </w:p>
        </w:tc>
        <w:tc>
          <w:tcPr>
            <w:tcW w:w="1330" w:type="dxa"/>
            <w:tcBorders>
              <w:top w:val="single" w:sz="4" w:space="0" w:color="auto"/>
              <w:left w:val="nil"/>
              <w:bottom w:val="nil"/>
              <w:right w:val="single" w:sz="4" w:space="0" w:color="auto"/>
            </w:tcBorders>
            <w:shd w:val="clear" w:color="auto" w:fill="auto"/>
            <w:noWrap/>
            <w:vAlign w:val="center"/>
          </w:tcPr>
          <w:p w14:paraId="3848A5DB"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0,682</w:t>
            </w:r>
          </w:p>
        </w:tc>
        <w:tc>
          <w:tcPr>
            <w:tcW w:w="1330" w:type="dxa"/>
            <w:tcBorders>
              <w:top w:val="single" w:sz="4" w:space="0" w:color="auto"/>
              <w:left w:val="nil"/>
              <w:bottom w:val="nil"/>
              <w:right w:val="single" w:sz="4" w:space="0" w:color="auto"/>
            </w:tcBorders>
            <w:shd w:val="clear" w:color="auto" w:fill="auto"/>
            <w:noWrap/>
            <w:vAlign w:val="center"/>
          </w:tcPr>
          <w:p w14:paraId="560FA1CB"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0,908</w:t>
            </w:r>
          </w:p>
        </w:tc>
        <w:tc>
          <w:tcPr>
            <w:tcW w:w="1330" w:type="dxa"/>
            <w:tcBorders>
              <w:top w:val="single" w:sz="4" w:space="0" w:color="auto"/>
              <w:left w:val="nil"/>
              <w:bottom w:val="nil"/>
              <w:right w:val="single" w:sz="4" w:space="0" w:color="auto"/>
            </w:tcBorders>
            <w:shd w:val="clear" w:color="auto" w:fill="auto"/>
            <w:noWrap/>
            <w:vAlign w:val="center"/>
          </w:tcPr>
          <w:p w14:paraId="30BEBD6B"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1,133</w:t>
            </w:r>
          </w:p>
        </w:tc>
        <w:tc>
          <w:tcPr>
            <w:tcW w:w="1330" w:type="dxa"/>
            <w:vMerge/>
            <w:tcBorders>
              <w:left w:val="nil"/>
              <w:right w:val="single" w:sz="4" w:space="0" w:color="auto"/>
            </w:tcBorders>
          </w:tcPr>
          <w:p w14:paraId="20756F1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1FCE7EF0"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57FC9A8A"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225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10C178B4"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0,244</w:t>
            </w:r>
          </w:p>
        </w:tc>
        <w:tc>
          <w:tcPr>
            <w:tcW w:w="1330" w:type="dxa"/>
            <w:tcBorders>
              <w:top w:val="single" w:sz="4" w:space="0" w:color="auto"/>
              <w:left w:val="nil"/>
              <w:bottom w:val="nil"/>
              <w:right w:val="single" w:sz="4" w:space="0" w:color="auto"/>
            </w:tcBorders>
            <w:shd w:val="clear" w:color="auto" w:fill="auto"/>
            <w:noWrap/>
            <w:vAlign w:val="center"/>
          </w:tcPr>
          <w:p w14:paraId="6940395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0,488</w:t>
            </w:r>
          </w:p>
        </w:tc>
        <w:tc>
          <w:tcPr>
            <w:tcW w:w="1330" w:type="dxa"/>
            <w:tcBorders>
              <w:top w:val="single" w:sz="4" w:space="0" w:color="auto"/>
              <w:left w:val="nil"/>
              <w:bottom w:val="nil"/>
              <w:right w:val="single" w:sz="4" w:space="0" w:color="auto"/>
            </w:tcBorders>
            <w:shd w:val="clear" w:color="auto" w:fill="auto"/>
            <w:noWrap/>
            <w:vAlign w:val="center"/>
          </w:tcPr>
          <w:p w14:paraId="5FE41E3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0,732</w:t>
            </w:r>
          </w:p>
        </w:tc>
        <w:tc>
          <w:tcPr>
            <w:tcW w:w="1330" w:type="dxa"/>
            <w:tcBorders>
              <w:top w:val="single" w:sz="4" w:space="0" w:color="auto"/>
              <w:left w:val="nil"/>
              <w:bottom w:val="nil"/>
              <w:right w:val="single" w:sz="4" w:space="0" w:color="auto"/>
            </w:tcBorders>
            <w:shd w:val="clear" w:color="auto" w:fill="auto"/>
            <w:noWrap/>
            <w:vAlign w:val="center"/>
          </w:tcPr>
          <w:p w14:paraId="4D68D204"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0,978</w:t>
            </w:r>
          </w:p>
        </w:tc>
        <w:tc>
          <w:tcPr>
            <w:tcW w:w="1330" w:type="dxa"/>
            <w:tcBorders>
              <w:top w:val="single" w:sz="4" w:space="0" w:color="auto"/>
              <w:left w:val="nil"/>
              <w:bottom w:val="nil"/>
              <w:right w:val="single" w:sz="4" w:space="0" w:color="auto"/>
            </w:tcBorders>
            <w:shd w:val="clear" w:color="auto" w:fill="auto"/>
            <w:noWrap/>
            <w:vAlign w:val="center"/>
          </w:tcPr>
          <w:p w14:paraId="494DC4B6"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1,222</w:t>
            </w:r>
          </w:p>
        </w:tc>
        <w:tc>
          <w:tcPr>
            <w:tcW w:w="1330" w:type="dxa"/>
            <w:vMerge/>
            <w:tcBorders>
              <w:left w:val="nil"/>
              <w:right w:val="single" w:sz="4" w:space="0" w:color="auto"/>
            </w:tcBorders>
          </w:tcPr>
          <w:p w14:paraId="47804B1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62978B48"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4FE88A23"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235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27084F76"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0,260</w:t>
            </w:r>
          </w:p>
        </w:tc>
        <w:tc>
          <w:tcPr>
            <w:tcW w:w="1330" w:type="dxa"/>
            <w:tcBorders>
              <w:top w:val="single" w:sz="4" w:space="0" w:color="auto"/>
              <w:left w:val="nil"/>
              <w:bottom w:val="nil"/>
              <w:right w:val="single" w:sz="4" w:space="0" w:color="auto"/>
            </w:tcBorders>
            <w:shd w:val="clear" w:color="auto" w:fill="auto"/>
            <w:noWrap/>
            <w:vAlign w:val="center"/>
          </w:tcPr>
          <w:p w14:paraId="04DD272E"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0,519</w:t>
            </w:r>
          </w:p>
        </w:tc>
        <w:tc>
          <w:tcPr>
            <w:tcW w:w="1330" w:type="dxa"/>
            <w:tcBorders>
              <w:top w:val="single" w:sz="4" w:space="0" w:color="auto"/>
              <w:left w:val="nil"/>
              <w:bottom w:val="nil"/>
              <w:right w:val="single" w:sz="4" w:space="0" w:color="auto"/>
            </w:tcBorders>
            <w:shd w:val="clear" w:color="auto" w:fill="auto"/>
            <w:noWrap/>
            <w:vAlign w:val="center"/>
          </w:tcPr>
          <w:p w14:paraId="3334C3D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0,781</w:t>
            </w:r>
          </w:p>
        </w:tc>
        <w:tc>
          <w:tcPr>
            <w:tcW w:w="1330" w:type="dxa"/>
            <w:tcBorders>
              <w:top w:val="single" w:sz="4" w:space="0" w:color="auto"/>
              <w:left w:val="nil"/>
              <w:bottom w:val="nil"/>
              <w:right w:val="single" w:sz="4" w:space="0" w:color="auto"/>
            </w:tcBorders>
            <w:shd w:val="clear" w:color="auto" w:fill="auto"/>
            <w:noWrap/>
            <w:vAlign w:val="center"/>
          </w:tcPr>
          <w:p w14:paraId="0A4AB8F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1,040</w:t>
            </w:r>
          </w:p>
        </w:tc>
        <w:tc>
          <w:tcPr>
            <w:tcW w:w="1330" w:type="dxa"/>
            <w:tcBorders>
              <w:top w:val="single" w:sz="4" w:space="0" w:color="auto"/>
              <w:left w:val="nil"/>
              <w:bottom w:val="nil"/>
              <w:right w:val="single" w:sz="4" w:space="0" w:color="auto"/>
            </w:tcBorders>
            <w:shd w:val="clear" w:color="auto" w:fill="auto"/>
            <w:noWrap/>
            <w:vAlign w:val="center"/>
          </w:tcPr>
          <w:p w14:paraId="6FA5F69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1,300</w:t>
            </w:r>
          </w:p>
        </w:tc>
        <w:tc>
          <w:tcPr>
            <w:tcW w:w="1330" w:type="dxa"/>
            <w:vMerge/>
            <w:tcBorders>
              <w:left w:val="nil"/>
              <w:right w:val="single" w:sz="4" w:space="0" w:color="auto"/>
            </w:tcBorders>
          </w:tcPr>
          <w:p w14:paraId="4CF15D5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282EFD16"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6AC72278"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245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74824336"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0,272</w:t>
            </w:r>
          </w:p>
        </w:tc>
        <w:tc>
          <w:tcPr>
            <w:tcW w:w="1330" w:type="dxa"/>
            <w:tcBorders>
              <w:top w:val="single" w:sz="4" w:space="0" w:color="auto"/>
              <w:left w:val="nil"/>
              <w:bottom w:val="nil"/>
              <w:right w:val="single" w:sz="4" w:space="0" w:color="auto"/>
            </w:tcBorders>
            <w:shd w:val="clear" w:color="auto" w:fill="auto"/>
            <w:noWrap/>
            <w:vAlign w:val="center"/>
          </w:tcPr>
          <w:p w14:paraId="445964EE"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0,542</w:t>
            </w:r>
          </w:p>
        </w:tc>
        <w:tc>
          <w:tcPr>
            <w:tcW w:w="1330" w:type="dxa"/>
            <w:tcBorders>
              <w:top w:val="single" w:sz="4" w:space="0" w:color="auto"/>
              <w:left w:val="nil"/>
              <w:bottom w:val="nil"/>
              <w:right w:val="single" w:sz="4" w:space="0" w:color="auto"/>
            </w:tcBorders>
            <w:shd w:val="clear" w:color="auto" w:fill="auto"/>
            <w:noWrap/>
            <w:vAlign w:val="center"/>
          </w:tcPr>
          <w:p w14:paraId="3481D11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0,814</w:t>
            </w:r>
          </w:p>
        </w:tc>
        <w:tc>
          <w:tcPr>
            <w:tcW w:w="1330" w:type="dxa"/>
            <w:tcBorders>
              <w:top w:val="single" w:sz="4" w:space="0" w:color="auto"/>
              <w:left w:val="nil"/>
              <w:bottom w:val="nil"/>
              <w:right w:val="single" w:sz="4" w:space="0" w:color="auto"/>
            </w:tcBorders>
            <w:shd w:val="clear" w:color="auto" w:fill="auto"/>
            <w:noWrap/>
            <w:vAlign w:val="center"/>
          </w:tcPr>
          <w:p w14:paraId="733FE00F"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1,085</w:t>
            </w:r>
          </w:p>
        </w:tc>
        <w:tc>
          <w:tcPr>
            <w:tcW w:w="1330" w:type="dxa"/>
            <w:tcBorders>
              <w:top w:val="single" w:sz="4" w:space="0" w:color="auto"/>
              <w:left w:val="nil"/>
              <w:bottom w:val="nil"/>
              <w:right w:val="single" w:sz="4" w:space="0" w:color="auto"/>
            </w:tcBorders>
            <w:shd w:val="clear" w:color="auto" w:fill="auto"/>
            <w:noWrap/>
            <w:vAlign w:val="center"/>
          </w:tcPr>
          <w:p w14:paraId="748384D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1,355</w:t>
            </w:r>
          </w:p>
        </w:tc>
        <w:tc>
          <w:tcPr>
            <w:tcW w:w="1330" w:type="dxa"/>
            <w:vMerge/>
            <w:tcBorders>
              <w:left w:val="nil"/>
              <w:right w:val="single" w:sz="4" w:space="0" w:color="auto"/>
            </w:tcBorders>
          </w:tcPr>
          <w:p w14:paraId="748B89B6"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78CD3267"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2DAFF31C"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265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520E42E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0,294</w:t>
            </w:r>
          </w:p>
        </w:tc>
        <w:tc>
          <w:tcPr>
            <w:tcW w:w="1330" w:type="dxa"/>
            <w:tcBorders>
              <w:top w:val="single" w:sz="4" w:space="0" w:color="auto"/>
              <w:left w:val="nil"/>
              <w:bottom w:val="nil"/>
              <w:right w:val="single" w:sz="4" w:space="0" w:color="auto"/>
            </w:tcBorders>
            <w:shd w:val="clear" w:color="auto" w:fill="auto"/>
            <w:noWrap/>
            <w:vAlign w:val="center"/>
          </w:tcPr>
          <w:p w14:paraId="0829679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0,587</w:t>
            </w:r>
          </w:p>
        </w:tc>
        <w:tc>
          <w:tcPr>
            <w:tcW w:w="1330" w:type="dxa"/>
            <w:tcBorders>
              <w:top w:val="single" w:sz="4" w:space="0" w:color="auto"/>
              <w:left w:val="nil"/>
              <w:bottom w:val="nil"/>
              <w:right w:val="single" w:sz="4" w:space="0" w:color="auto"/>
            </w:tcBorders>
            <w:shd w:val="clear" w:color="auto" w:fill="auto"/>
            <w:noWrap/>
            <w:vAlign w:val="center"/>
          </w:tcPr>
          <w:p w14:paraId="377702B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0,881</w:t>
            </w:r>
          </w:p>
        </w:tc>
        <w:tc>
          <w:tcPr>
            <w:tcW w:w="1330" w:type="dxa"/>
            <w:tcBorders>
              <w:top w:val="single" w:sz="4" w:space="0" w:color="auto"/>
              <w:left w:val="nil"/>
              <w:bottom w:val="nil"/>
              <w:right w:val="single" w:sz="4" w:space="0" w:color="auto"/>
            </w:tcBorders>
            <w:shd w:val="clear" w:color="auto" w:fill="auto"/>
            <w:noWrap/>
            <w:vAlign w:val="center"/>
          </w:tcPr>
          <w:p w14:paraId="6BB0D710"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1,174</w:t>
            </w:r>
          </w:p>
        </w:tc>
        <w:tc>
          <w:tcPr>
            <w:tcW w:w="1330" w:type="dxa"/>
            <w:tcBorders>
              <w:top w:val="single" w:sz="4" w:space="0" w:color="auto"/>
              <w:left w:val="nil"/>
              <w:bottom w:val="nil"/>
              <w:right w:val="single" w:sz="4" w:space="0" w:color="auto"/>
            </w:tcBorders>
            <w:shd w:val="clear" w:color="auto" w:fill="auto"/>
            <w:noWrap/>
            <w:vAlign w:val="center"/>
          </w:tcPr>
          <w:p w14:paraId="7A3768CF"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1,467</w:t>
            </w:r>
          </w:p>
        </w:tc>
        <w:tc>
          <w:tcPr>
            <w:tcW w:w="1330" w:type="dxa"/>
            <w:vMerge/>
            <w:tcBorders>
              <w:left w:val="nil"/>
              <w:right w:val="single" w:sz="4" w:space="0" w:color="auto"/>
            </w:tcBorders>
          </w:tcPr>
          <w:p w14:paraId="3ABCD1E6"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07D3D5CF"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73138F0D"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275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5063ECD1"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0,305</w:t>
            </w:r>
          </w:p>
        </w:tc>
        <w:tc>
          <w:tcPr>
            <w:tcW w:w="1330" w:type="dxa"/>
            <w:tcBorders>
              <w:top w:val="single" w:sz="4" w:space="0" w:color="auto"/>
              <w:left w:val="nil"/>
              <w:bottom w:val="nil"/>
              <w:right w:val="single" w:sz="4" w:space="0" w:color="auto"/>
            </w:tcBorders>
            <w:shd w:val="clear" w:color="auto" w:fill="auto"/>
            <w:noWrap/>
            <w:vAlign w:val="center"/>
          </w:tcPr>
          <w:p w14:paraId="2480FAF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0,608</w:t>
            </w:r>
          </w:p>
        </w:tc>
        <w:tc>
          <w:tcPr>
            <w:tcW w:w="1330" w:type="dxa"/>
            <w:tcBorders>
              <w:top w:val="single" w:sz="4" w:space="0" w:color="auto"/>
              <w:left w:val="nil"/>
              <w:bottom w:val="nil"/>
              <w:right w:val="single" w:sz="4" w:space="0" w:color="auto"/>
            </w:tcBorders>
            <w:shd w:val="clear" w:color="auto" w:fill="auto"/>
            <w:noWrap/>
            <w:vAlign w:val="center"/>
          </w:tcPr>
          <w:p w14:paraId="0327FAC6"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0,913</w:t>
            </w:r>
          </w:p>
        </w:tc>
        <w:tc>
          <w:tcPr>
            <w:tcW w:w="1330" w:type="dxa"/>
            <w:tcBorders>
              <w:top w:val="single" w:sz="4" w:space="0" w:color="auto"/>
              <w:left w:val="nil"/>
              <w:bottom w:val="nil"/>
              <w:right w:val="single" w:sz="4" w:space="0" w:color="auto"/>
            </w:tcBorders>
            <w:shd w:val="clear" w:color="auto" w:fill="auto"/>
            <w:noWrap/>
            <w:vAlign w:val="center"/>
          </w:tcPr>
          <w:p w14:paraId="2FCC1DC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1,216</w:t>
            </w:r>
          </w:p>
        </w:tc>
        <w:tc>
          <w:tcPr>
            <w:tcW w:w="1330" w:type="dxa"/>
            <w:tcBorders>
              <w:top w:val="single" w:sz="4" w:space="0" w:color="auto"/>
              <w:left w:val="nil"/>
              <w:bottom w:val="nil"/>
              <w:right w:val="single" w:sz="4" w:space="0" w:color="auto"/>
            </w:tcBorders>
            <w:shd w:val="clear" w:color="auto" w:fill="auto"/>
            <w:noWrap/>
            <w:vAlign w:val="center"/>
          </w:tcPr>
          <w:p w14:paraId="449F165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1,522</w:t>
            </w:r>
          </w:p>
        </w:tc>
        <w:tc>
          <w:tcPr>
            <w:tcW w:w="1330" w:type="dxa"/>
            <w:vMerge/>
            <w:tcBorders>
              <w:left w:val="nil"/>
              <w:right w:val="single" w:sz="4" w:space="0" w:color="auto"/>
            </w:tcBorders>
          </w:tcPr>
          <w:p w14:paraId="2628D72E"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0CB5AC36"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64BE0E5C"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295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6A39C70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0,326</w:t>
            </w:r>
          </w:p>
        </w:tc>
        <w:tc>
          <w:tcPr>
            <w:tcW w:w="1330" w:type="dxa"/>
            <w:tcBorders>
              <w:top w:val="single" w:sz="4" w:space="0" w:color="auto"/>
              <w:left w:val="nil"/>
              <w:bottom w:val="nil"/>
              <w:right w:val="single" w:sz="4" w:space="0" w:color="auto"/>
            </w:tcBorders>
            <w:shd w:val="clear" w:color="auto" w:fill="auto"/>
            <w:noWrap/>
            <w:vAlign w:val="center"/>
          </w:tcPr>
          <w:p w14:paraId="4595F93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0,653</w:t>
            </w:r>
          </w:p>
        </w:tc>
        <w:tc>
          <w:tcPr>
            <w:tcW w:w="1330" w:type="dxa"/>
            <w:tcBorders>
              <w:top w:val="single" w:sz="4" w:space="0" w:color="auto"/>
              <w:left w:val="nil"/>
              <w:bottom w:val="nil"/>
              <w:right w:val="single" w:sz="4" w:space="0" w:color="auto"/>
            </w:tcBorders>
            <w:shd w:val="clear" w:color="auto" w:fill="auto"/>
            <w:noWrap/>
            <w:vAlign w:val="center"/>
          </w:tcPr>
          <w:p w14:paraId="2586955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0,980</w:t>
            </w:r>
          </w:p>
        </w:tc>
        <w:tc>
          <w:tcPr>
            <w:tcW w:w="1330" w:type="dxa"/>
            <w:tcBorders>
              <w:top w:val="single" w:sz="4" w:space="0" w:color="auto"/>
              <w:left w:val="nil"/>
              <w:bottom w:val="nil"/>
              <w:right w:val="single" w:sz="4" w:space="0" w:color="auto"/>
            </w:tcBorders>
            <w:shd w:val="clear" w:color="auto" w:fill="auto"/>
            <w:noWrap/>
            <w:vAlign w:val="center"/>
          </w:tcPr>
          <w:p w14:paraId="371CD738"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1,306</w:t>
            </w:r>
          </w:p>
        </w:tc>
        <w:tc>
          <w:tcPr>
            <w:tcW w:w="1330" w:type="dxa"/>
            <w:tcBorders>
              <w:top w:val="single" w:sz="4" w:space="0" w:color="auto"/>
              <w:left w:val="nil"/>
              <w:bottom w:val="nil"/>
              <w:right w:val="single" w:sz="4" w:space="0" w:color="auto"/>
            </w:tcBorders>
            <w:shd w:val="clear" w:color="auto" w:fill="auto"/>
            <w:noWrap/>
            <w:vAlign w:val="center"/>
          </w:tcPr>
          <w:p w14:paraId="68794F4A"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1,633</w:t>
            </w:r>
          </w:p>
        </w:tc>
        <w:tc>
          <w:tcPr>
            <w:tcW w:w="1330" w:type="dxa"/>
            <w:vMerge/>
            <w:tcBorders>
              <w:left w:val="nil"/>
              <w:right w:val="single" w:sz="4" w:space="0" w:color="auto"/>
            </w:tcBorders>
          </w:tcPr>
          <w:p w14:paraId="10E3C2D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4D0C963E"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309C56C1"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305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78B8FA5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0,337</w:t>
            </w:r>
          </w:p>
        </w:tc>
        <w:tc>
          <w:tcPr>
            <w:tcW w:w="1330" w:type="dxa"/>
            <w:tcBorders>
              <w:top w:val="single" w:sz="4" w:space="0" w:color="auto"/>
              <w:left w:val="nil"/>
              <w:bottom w:val="nil"/>
              <w:right w:val="single" w:sz="4" w:space="0" w:color="auto"/>
            </w:tcBorders>
            <w:shd w:val="clear" w:color="auto" w:fill="auto"/>
            <w:noWrap/>
            <w:vAlign w:val="center"/>
          </w:tcPr>
          <w:p w14:paraId="6B6989DD"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0,676</w:t>
            </w:r>
          </w:p>
        </w:tc>
        <w:tc>
          <w:tcPr>
            <w:tcW w:w="1330" w:type="dxa"/>
            <w:tcBorders>
              <w:top w:val="single" w:sz="4" w:space="0" w:color="auto"/>
              <w:left w:val="nil"/>
              <w:bottom w:val="nil"/>
              <w:right w:val="single" w:sz="4" w:space="0" w:color="auto"/>
            </w:tcBorders>
            <w:shd w:val="clear" w:color="auto" w:fill="auto"/>
            <w:noWrap/>
            <w:vAlign w:val="center"/>
          </w:tcPr>
          <w:p w14:paraId="4ADAD99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1,013</w:t>
            </w:r>
          </w:p>
        </w:tc>
        <w:tc>
          <w:tcPr>
            <w:tcW w:w="1330" w:type="dxa"/>
            <w:tcBorders>
              <w:top w:val="single" w:sz="4" w:space="0" w:color="auto"/>
              <w:left w:val="nil"/>
              <w:bottom w:val="nil"/>
              <w:right w:val="single" w:sz="4" w:space="0" w:color="auto"/>
            </w:tcBorders>
            <w:shd w:val="clear" w:color="auto" w:fill="auto"/>
            <w:noWrap/>
            <w:vAlign w:val="center"/>
          </w:tcPr>
          <w:p w14:paraId="48DA953A"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1,350</w:t>
            </w:r>
          </w:p>
        </w:tc>
        <w:tc>
          <w:tcPr>
            <w:tcW w:w="1330" w:type="dxa"/>
            <w:tcBorders>
              <w:top w:val="single" w:sz="4" w:space="0" w:color="auto"/>
              <w:left w:val="nil"/>
              <w:bottom w:val="nil"/>
              <w:right w:val="single" w:sz="4" w:space="0" w:color="auto"/>
            </w:tcBorders>
            <w:shd w:val="clear" w:color="auto" w:fill="auto"/>
            <w:noWrap/>
            <w:vAlign w:val="center"/>
          </w:tcPr>
          <w:p w14:paraId="049BB953"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1,688</w:t>
            </w:r>
          </w:p>
        </w:tc>
        <w:tc>
          <w:tcPr>
            <w:tcW w:w="1330" w:type="dxa"/>
            <w:vMerge/>
            <w:tcBorders>
              <w:left w:val="nil"/>
              <w:right w:val="single" w:sz="4" w:space="0" w:color="auto"/>
            </w:tcBorders>
          </w:tcPr>
          <w:p w14:paraId="6521642A"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265791B0"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76ECB371"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315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71ACFDF8"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0,348</w:t>
            </w:r>
          </w:p>
        </w:tc>
        <w:tc>
          <w:tcPr>
            <w:tcW w:w="1330" w:type="dxa"/>
            <w:tcBorders>
              <w:top w:val="single" w:sz="4" w:space="0" w:color="auto"/>
              <w:left w:val="nil"/>
              <w:bottom w:val="nil"/>
              <w:right w:val="single" w:sz="4" w:space="0" w:color="auto"/>
            </w:tcBorders>
            <w:shd w:val="clear" w:color="auto" w:fill="auto"/>
            <w:noWrap/>
            <w:vAlign w:val="center"/>
          </w:tcPr>
          <w:p w14:paraId="1498001E"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0,697</w:t>
            </w:r>
          </w:p>
        </w:tc>
        <w:tc>
          <w:tcPr>
            <w:tcW w:w="1330" w:type="dxa"/>
            <w:tcBorders>
              <w:top w:val="single" w:sz="4" w:space="0" w:color="auto"/>
              <w:left w:val="nil"/>
              <w:bottom w:val="nil"/>
              <w:right w:val="single" w:sz="4" w:space="0" w:color="auto"/>
            </w:tcBorders>
            <w:shd w:val="clear" w:color="auto" w:fill="auto"/>
            <w:noWrap/>
            <w:vAlign w:val="center"/>
          </w:tcPr>
          <w:p w14:paraId="26493D7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1,045</w:t>
            </w:r>
          </w:p>
        </w:tc>
        <w:tc>
          <w:tcPr>
            <w:tcW w:w="1330" w:type="dxa"/>
            <w:tcBorders>
              <w:top w:val="single" w:sz="4" w:space="0" w:color="auto"/>
              <w:left w:val="nil"/>
              <w:bottom w:val="nil"/>
              <w:right w:val="single" w:sz="4" w:space="0" w:color="auto"/>
            </w:tcBorders>
            <w:shd w:val="clear" w:color="auto" w:fill="auto"/>
            <w:noWrap/>
            <w:vAlign w:val="center"/>
          </w:tcPr>
          <w:p w14:paraId="62C7CB68"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1,395</w:t>
            </w:r>
          </w:p>
        </w:tc>
        <w:tc>
          <w:tcPr>
            <w:tcW w:w="1330" w:type="dxa"/>
            <w:tcBorders>
              <w:top w:val="single" w:sz="4" w:space="0" w:color="auto"/>
              <w:left w:val="nil"/>
              <w:bottom w:val="nil"/>
              <w:right w:val="single" w:sz="4" w:space="0" w:color="auto"/>
            </w:tcBorders>
            <w:shd w:val="clear" w:color="auto" w:fill="auto"/>
            <w:noWrap/>
            <w:vAlign w:val="center"/>
          </w:tcPr>
          <w:p w14:paraId="25D3321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1,743</w:t>
            </w:r>
          </w:p>
        </w:tc>
        <w:tc>
          <w:tcPr>
            <w:tcW w:w="1330" w:type="dxa"/>
            <w:vMerge/>
            <w:tcBorders>
              <w:left w:val="nil"/>
              <w:right w:val="single" w:sz="4" w:space="0" w:color="auto"/>
            </w:tcBorders>
          </w:tcPr>
          <w:p w14:paraId="3234957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14B1291E" w14:textId="77777777" w:rsidTr="00773044">
        <w:trPr>
          <w:trHeight w:val="320"/>
          <w:jc w:val="center"/>
        </w:trPr>
        <w:tc>
          <w:tcPr>
            <w:tcW w:w="1340" w:type="dxa"/>
            <w:tcBorders>
              <w:top w:val="single" w:sz="8" w:space="0" w:color="000000"/>
              <w:left w:val="single" w:sz="4" w:space="0" w:color="auto"/>
              <w:bottom w:val="single" w:sz="8" w:space="0" w:color="000000"/>
              <w:right w:val="single" w:sz="4" w:space="0" w:color="auto"/>
            </w:tcBorders>
            <w:shd w:val="clear" w:color="auto" w:fill="auto"/>
            <w:noWrap/>
            <w:hideMark/>
          </w:tcPr>
          <w:p w14:paraId="087CC609"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335</w:t>
            </w:r>
          </w:p>
        </w:tc>
        <w:tc>
          <w:tcPr>
            <w:tcW w:w="1330" w:type="dxa"/>
            <w:tcBorders>
              <w:top w:val="single" w:sz="4" w:space="0" w:color="auto"/>
              <w:left w:val="single" w:sz="4" w:space="0" w:color="auto"/>
              <w:bottom w:val="nil"/>
              <w:right w:val="single" w:sz="4" w:space="0" w:color="auto"/>
            </w:tcBorders>
            <w:shd w:val="clear" w:color="auto" w:fill="auto"/>
            <w:noWrap/>
            <w:vAlign w:val="center"/>
          </w:tcPr>
          <w:p w14:paraId="35C60A7B"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0,372</w:t>
            </w:r>
          </w:p>
        </w:tc>
        <w:tc>
          <w:tcPr>
            <w:tcW w:w="1330" w:type="dxa"/>
            <w:tcBorders>
              <w:top w:val="single" w:sz="4" w:space="0" w:color="auto"/>
              <w:left w:val="nil"/>
              <w:bottom w:val="nil"/>
              <w:right w:val="single" w:sz="4" w:space="0" w:color="auto"/>
            </w:tcBorders>
            <w:shd w:val="clear" w:color="auto" w:fill="auto"/>
            <w:noWrap/>
            <w:vAlign w:val="center"/>
          </w:tcPr>
          <w:p w14:paraId="098CE7E7"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0,740</w:t>
            </w:r>
          </w:p>
        </w:tc>
        <w:tc>
          <w:tcPr>
            <w:tcW w:w="1330" w:type="dxa"/>
            <w:tcBorders>
              <w:top w:val="single" w:sz="4" w:space="0" w:color="auto"/>
              <w:left w:val="nil"/>
              <w:bottom w:val="nil"/>
              <w:right w:val="single" w:sz="4" w:space="0" w:color="auto"/>
            </w:tcBorders>
            <w:shd w:val="clear" w:color="auto" w:fill="auto"/>
            <w:noWrap/>
            <w:vAlign w:val="center"/>
          </w:tcPr>
          <w:p w14:paraId="7DA94CE0"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1,113</w:t>
            </w:r>
          </w:p>
        </w:tc>
        <w:tc>
          <w:tcPr>
            <w:tcW w:w="1330" w:type="dxa"/>
            <w:tcBorders>
              <w:top w:val="single" w:sz="4" w:space="0" w:color="auto"/>
              <w:left w:val="nil"/>
              <w:bottom w:val="nil"/>
              <w:right w:val="single" w:sz="4" w:space="0" w:color="auto"/>
            </w:tcBorders>
            <w:shd w:val="clear" w:color="auto" w:fill="auto"/>
            <w:noWrap/>
            <w:vAlign w:val="center"/>
          </w:tcPr>
          <w:p w14:paraId="62F723E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1,484</w:t>
            </w:r>
          </w:p>
        </w:tc>
        <w:tc>
          <w:tcPr>
            <w:tcW w:w="1330" w:type="dxa"/>
            <w:tcBorders>
              <w:top w:val="single" w:sz="4" w:space="0" w:color="auto"/>
              <w:left w:val="nil"/>
              <w:bottom w:val="nil"/>
              <w:right w:val="single" w:sz="4" w:space="0" w:color="auto"/>
            </w:tcBorders>
            <w:shd w:val="clear" w:color="auto" w:fill="auto"/>
            <w:noWrap/>
            <w:vAlign w:val="center"/>
          </w:tcPr>
          <w:p w14:paraId="3E298945"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1,854</w:t>
            </w:r>
          </w:p>
        </w:tc>
        <w:tc>
          <w:tcPr>
            <w:tcW w:w="1330" w:type="dxa"/>
            <w:vMerge/>
            <w:tcBorders>
              <w:left w:val="nil"/>
              <w:right w:val="single" w:sz="4" w:space="0" w:color="auto"/>
            </w:tcBorders>
          </w:tcPr>
          <w:p w14:paraId="5A83FDEC"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r w:rsidR="00BF7D71" w:rsidRPr="00BF7D71" w14:paraId="26CBE0CF" w14:textId="77777777" w:rsidTr="00773044">
        <w:trPr>
          <w:trHeight w:val="320"/>
          <w:jc w:val="center"/>
        </w:trPr>
        <w:tc>
          <w:tcPr>
            <w:tcW w:w="1340" w:type="dxa"/>
            <w:tcBorders>
              <w:top w:val="single" w:sz="8" w:space="0" w:color="000000"/>
              <w:left w:val="single" w:sz="4" w:space="0" w:color="auto"/>
              <w:bottom w:val="single" w:sz="4" w:space="0" w:color="auto"/>
              <w:right w:val="single" w:sz="4" w:space="0" w:color="auto"/>
            </w:tcBorders>
            <w:shd w:val="clear" w:color="auto" w:fill="auto"/>
            <w:noWrap/>
            <w:hideMark/>
          </w:tcPr>
          <w:p w14:paraId="6B832A54" w14:textId="77777777" w:rsidR="00BF7D71" w:rsidRPr="00BF7D71" w:rsidRDefault="00BF7D71" w:rsidP="00BF7D71">
            <w:pPr>
              <w:spacing w:after="0" w:line="240" w:lineRule="auto"/>
              <w:jc w:val="center"/>
              <w:rPr>
                <w:rFonts w:ascii="Arial" w:eastAsia="Times New Roman" w:hAnsi="Arial" w:cs="Arial"/>
                <w:sz w:val="20"/>
                <w:szCs w:val="20"/>
                <w:lang w:eastAsia="fr-FR"/>
              </w:rPr>
            </w:pPr>
            <w:r w:rsidRPr="00BF7D71">
              <w:rPr>
                <w:rFonts w:ascii="Arial" w:eastAsia="Times New Roman" w:hAnsi="Arial" w:cs="Arial"/>
                <w:sz w:val="20"/>
                <w:szCs w:val="20"/>
                <w:lang w:eastAsia="fr-FR"/>
              </w:rPr>
              <w:t>345</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BCED4"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0,382</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543A6DA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0,764</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608DD3A5"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1,145</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3BFD4652"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1,527</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7E7F8869"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r w:rsidRPr="00BF7D71">
              <w:rPr>
                <w:rFonts w:ascii="Garamond" w:eastAsia="Times New Roman" w:hAnsi="Garamond" w:cs="Arial"/>
                <w:lang w:eastAsia="fr-FR"/>
              </w:rPr>
              <w:t>1,909</w:t>
            </w:r>
          </w:p>
        </w:tc>
        <w:tc>
          <w:tcPr>
            <w:tcW w:w="1330" w:type="dxa"/>
            <w:vMerge/>
            <w:tcBorders>
              <w:left w:val="nil"/>
              <w:bottom w:val="single" w:sz="4" w:space="0" w:color="auto"/>
              <w:right w:val="single" w:sz="4" w:space="0" w:color="auto"/>
            </w:tcBorders>
          </w:tcPr>
          <w:p w14:paraId="7DA10F10" w14:textId="77777777" w:rsidR="00BF7D71" w:rsidRPr="00BF7D71" w:rsidRDefault="00BF7D71" w:rsidP="00BF7D71">
            <w:pPr>
              <w:overflowPunct w:val="0"/>
              <w:autoSpaceDE w:val="0"/>
              <w:autoSpaceDN w:val="0"/>
              <w:adjustRightInd w:val="0"/>
              <w:spacing w:after="0" w:line="240" w:lineRule="auto"/>
              <w:jc w:val="center"/>
              <w:textAlignment w:val="baseline"/>
              <w:rPr>
                <w:rFonts w:ascii="Garamond" w:eastAsia="Times New Roman" w:hAnsi="Garamond" w:cs="Arial"/>
                <w:lang w:eastAsia="fr-FR"/>
              </w:rPr>
            </w:pPr>
          </w:p>
        </w:tc>
      </w:tr>
    </w:tbl>
    <w:p w14:paraId="767C32BF" w14:textId="77777777" w:rsidR="00BF7D71" w:rsidRPr="00CB40D2" w:rsidRDefault="00BF7D71" w:rsidP="00BF7D71">
      <w:pPr>
        <w:jc w:val="both"/>
        <w:rPr>
          <w:rFonts w:ascii="Arial" w:hAnsi="Arial" w:cs="Arial"/>
        </w:rPr>
      </w:pPr>
      <w:r w:rsidRPr="00EC42DD">
        <w:rPr>
          <w:rFonts w:ascii="Arial" w:hAnsi="Arial" w:cs="Arial"/>
        </w:rPr>
        <w:t>*A compter de 20 ans d’ancienneté, un montant de 20 euros bruts/mois (151,67 h à proratiser le cas échéant), s’ajoute à la prime d’ancienneté calculée à l’aide du tableau ci-dessus.</w:t>
      </w:r>
    </w:p>
    <w:p w14:paraId="15B3C984" w14:textId="77777777" w:rsidR="00BF7D71" w:rsidRPr="002C2325" w:rsidRDefault="00BF7D71" w:rsidP="00BF7D71">
      <w:pPr>
        <w:pStyle w:val="Corpsdetexte3"/>
        <w:rPr>
          <w:rFonts w:asciiTheme="majorHAnsi" w:hAnsiTheme="majorHAnsi"/>
          <w:i/>
          <w:sz w:val="22"/>
          <w:szCs w:val="22"/>
        </w:rPr>
      </w:pPr>
      <w:r w:rsidRPr="002C2325">
        <w:rPr>
          <w:rFonts w:asciiTheme="majorHAnsi" w:hAnsiTheme="majorHAnsi"/>
          <w:i/>
          <w:sz w:val="22"/>
          <w:szCs w:val="22"/>
        </w:rPr>
        <w:t xml:space="preserve">Le résultat de cette opération </w:t>
      </w:r>
      <w:proofErr w:type="gramStart"/>
      <w:r w:rsidRPr="002C2325">
        <w:rPr>
          <w:rFonts w:asciiTheme="majorHAnsi" w:hAnsiTheme="majorHAnsi"/>
          <w:i/>
          <w:sz w:val="22"/>
          <w:szCs w:val="22"/>
        </w:rPr>
        <w:t>sera</w:t>
      </w:r>
      <w:proofErr w:type="gramEnd"/>
      <w:r w:rsidRPr="002C2325">
        <w:rPr>
          <w:rFonts w:asciiTheme="majorHAnsi" w:hAnsiTheme="majorHAnsi"/>
          <w:i/>
          <w:sz w:val="22"/>
          <w:szCs w:val="22"/>
        </w:rPr>
        <w:t xml:space="preserve"> arrondi trois chiffres après la virgule. Si le quatrième chiffre après la virgule est supérieur ou égal à 5, il convient d’arrondir au millième supérieur. Sinon, il convient d’arrondir au millième correspondant.</w:t>
      </w:r>
    </w:p>
    <w:p w14:paraId="2D4697CF" w14:textId="77777777" w:rsidR="00BF7D71" w:rsidRPr="002C2325" w:rsidRDefault="00BF7D71" w:rsidP="00BF7D71">
      <w:pPr>
        <w:jc w:val="both"/>
        <w:rPr>
          <w:rFonts w:asciiTheme="majorHAnsi" w:hAnsiTheme="majorHAnsi"/>
          <w:i/>
        </w:rPr>
      </w:pPr>
      <w:r w:rsidRPr="002C2325">
        <w:rPr>
          <w:rFonts w:asciiTheme="majorHAnsi" w:hAnsiTheme="majorHAnsi"/>
          <w:i/>
        </w:rPr>
        <w:t>Ex : si PA = 27,0958455, elle sera arrondie à 27,096</w:t>
      </w:r>
    </w:p>
    <w:p w14:paraId="083AA549" w14:textId="77777777" w:rsidR="00BF7D71" w:rsidRPr="002C2325" w:rsidRDefault="00BF7D71" w:rsidP="00BF7D71">
      <w:pPr>
        <w:jc w:val="both"/>
        <w:rPr>
          <w:rFonts w:asciiTheme="majorHAnsi" w:hAnsiTheme="majorHAnsi"/>
          <w:i/>
        </w:rPr>
      </w:pPr>
      <w:r w:rsidRPr="002C2325">
        <w:rPr>
          <w:rFonts w:asciiTheme="majorHAnsi" w:hAnsiTheme="majorHAnsi"/>
          <w:i/>
        </w:rPr>
        <w:t xml:space="preserve">       </w:t>
      </w:r>
      <w:proofErr w:type="gramStart"/>
      <w:r w:rsidRPr="002C2325">
        <w:rPr>
          <w:rFonts w:asciiTheme="majorHAnsi" w:hAnsiTheme="majorHAnsi"/>
          <w:i/>
        </w:rPr>
        <w:t>si</w:t>
      </w:r>
      <w:proofErr w:type="gramEnd"/>
      <w:r w:rsidRPr="002C2325">
        <w:rPr>
          <w:rFonts w:asciiTheme="majorHAnsi" w:hAnsiTheme="majorHAnsi"/>
          <w:i/>
        </w:rPr>
        <w:t xml:space="preserve"> PA = 27,710109, elle sera arrondie à 27,710 .</w:t>
      </w:r>
    </w:p>
    <w:p w14:paraId="4CE3A721" w14:textId="77777777" w:rsidR="00BF7D71" w:rsidRPr="002C2325" w:rsidRDefault="00BF7D71" w:rsidP="00BF7D71">
      <w:pPr>
        <w:rPr>
          <w:rFonts w:asciiTheme="majorHAnsi" w:hAnsiTheme="majorHAnsi"/>
          <w:i/>
        </w:rPr>
      </w:pPr>
      <w:r w:rsidRPr="002C2325">
        <w:rPr>
          <w:rFonts w:asciiTheme="majorHAnsi" w:hAnsiTheme="majorHAnsi"/>
          <w:i/>
        </w:rPr>
        <w:t>La prime d’ancienneté doit figurer à part sur la feuille de paie.</w:t>
      </w:r>
    </w:p>
    <w:p w14:paraId="548F6D03" w14:textId="77777777" w:rsidR="00BF7D71" w:rsidRPr="00FC4E44" w:rsidRDefault="00BF7D71" w:rsidP="003847E3">
      <w:pPr>
        <w:jc w:val="both"/>
      </w:pPr>
    </w:p>
    <w:sectPr w:rsidR="00BF7D71" w:rsidRPr="00FC4E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6672" w14:textId="77777777" w:rsidR="00A439D3" w:rsidRDefault="00A439D3" w:rsidP="00B92639">
      <w:pPr>
        <w:spacing w:after="0" w:line="240" w:lineRule="auto"/>
      </w:pPr>
      <w:r>
        <w:separator/>
      </w:r>
    </w:p>
  </w:endnote>
  <w:endnote w:type="continuationSeparator" w:id="0">
    <w:p w14:paraId="3E22DCD0" w14:textId="77777777" w:rsidR="00A439D3" w:rsidRDefault="00A439D3" w:rsidP="00B9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W1)">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AB53" w14:textId="77777777" w:rsidR="000C72A2" w:rsidRDefault="000C72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0114" w14:textId="77777777" w:rsidR="000C72A2" w:rsidRDefault="000C72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46AA" w14:textId="77777777" w:rsidR="000C72A2" w:rsidRDefault="000C72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E13B" w14:textId="77777777" w:rsidR="00A439D3" w:rsidRDefault="00A439D3" w:rsidP="00B92639">
      <w:pPr>
        <w:spacing w:after="0" w:line="240" w:lineRule="auto"/>
      </w:pPr>
      <w:r>
        <w:separator/>
      </w:r>
    </w:p>
  </w:footnote>
  <w:footnote w:type="continuationSeparator" w:id="0">
    <w:p w14:paraId="12F3BD6F" w14:textId="77777777" w:rsidR="00A439D3" w:rsidRDefault="00A439D3" w:rsidP="00B9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7EA" w14:textId="77777777" w:rsidR="00B92639" w:rsidRDefault="00A439D3">
    <w:pPr>
      <w:pStyle w:val="En-tte"/>
    </w:pPr>
    <w:r>
      <w:rPr>
        <w:noProof/>
      </w:rPr>
      <w:pict w14:anchorId="710C1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3290" o:spid="_x0000_s2051" type="#_x0000_t136" alt="" style="position:absolute;margin-left:0;margin-top:0;width:479.6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1F6D" w14:textId="77777777" w:rsidR="00B92639" w:rsidRDefault="00A439D3">
    <w:pPr>
      <w:pStyle w:val="En-tte"/>
    </w:pPr>
    <w:r>
      <w:rPr>
        <w:noProof/>
      </w:rPr>
      <w:pict w14:anchorId="374A9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3291" o:spid="_x0000_s2050" type="#_x0000_t136" alt="" style="position:absolute;margin-left:0;margin-top:0;width:479.6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B8A2" w14:textId="77777777" w:rsidR="00B92639" w:rsidRDefault="00A439D3">
    <w:pPr>
      <w:pStyle w:val="En-tte"/>
    </w:pPr>
    <w:r>
      <w:rPr>
        <w:noProof/>
      </w:rPr>
      <w:pict w14:anchorId="60A1B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93289" o:spid="_x0000_s2049" type="#_x0000_t136" alt="" style="position:absolute;margin-left:0;margin-top:0;width:479.6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818C0"/>
    <w:multiLevelType w:val="hybridMultilevel"/>
    <w:tmpl w:val="08A4B806"/>
    <w:lvl w:ilvl="0" w:tplc="898A0772">
      <w:start w:val="3"/>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A44A2D"/>
    <w:multiLevelType w:val="hybridMultilevel"/>
    <w:tmpl w:val="722458BC"/>
    <w:lvl w:ilvl="0" w:tplc="316A3BD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330DCB"/>
    <w:multiLevelType w:val="hybridMultilevel"/>
    <w:tmpl w:val="2522F6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F71C5"/>
    <w:multiLevelType w:val="hybridMultilevel"/>
    <w:tmpl w:val="3F88A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B0011F"/>
    <w:multiLevelType w:val="hybridMultilevel"/>
    <w:tmpl w:val="E96A1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A"/>
    <w:rsid w:val="000745C1"/>
    <w:rsid w:val="00090C5E"/>
    <w:rsid w:val="00091050"/>
    <w:rsid w:val="000C6622"/>
    <w:rsid w:val="000C72A2"/>
    <w:rsid w:val="000D35D6"/>
    <w:rsid w:val="000F38FB"/>
    <w:rsid w:val="001278EE"/>
    <w:rsid w:val="00185E90"/>
    <w:rsid w:val="001E380B"/>
    <w:rsid w:val="00336C2F"/>
    <w:rsid w:val="00366A1A"/>
    <w:rsid w:val="003847E3"/>
    <w:rsid w:val="003972D3"/>
    <w:rsid w:val="003F7AFF"/>
    <w:rsid w:val="00441AEB"/>
    <w:rsid w:val="004A13EF"/>
    <w:rsid w:val="00504477"/>
    <w:rsid w:val="00540322"/>
    <w:rsid w:val="005822C3"/>
    <w:rsid w:val="00594E53"/>
    <w:rsid w:val="00625D1A"/>
    <w:rsid w:val="006543EA"/>
    <w:rsid w:val="00673BA5"/>
    <w:rsid w:val="00700BCA"/>
    <w:rsid w:val="007314C2"/>
    <w:rsid w:val="00754B6A"/>
    <w:rsid w:val="0078275C"/>
    <w:rsid w:val="007D665C"/>
    <w:rsid w:val="007E486D"/>
    <w:rsid w:val="00803362"/>
    <w:rsid w:val="00831D4D"/>
    <w:rsid w:val="00926850"/>
    <w:rsid w:val="00957972"/>
    <w:rsid w:val="009A0F47"/>
    <w:rsid w:val="009D7423"/>
    <w:rsid w:val="00A439D3"/>
    <w:rsid w:val="00A6089E"/>
    <w:rsid w:val="00AC0B7D"/>
    <w:rsid w:val="00B307F5"/>
    <w:rsid w:val="00B92639"/>
    <w:rsid w:val="00BF7D71"/>
    <w:rsid w:val="00C800D4"/>
    <w:rsid w:val="00CA19F3"/>
    <w:rsid w:val="00E34E88"/>
    <w:rsid w:val="00E9670D"/>
    <w:rsid w:val="00F147C0"/>
    <w:rsid w:val="00F15470"/>
    <w:rsid w:val="00FC4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F76E6"/>
  <w15:docId w15:val="{B96841BB-885E-7240-8E65-874FF5C0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2639"/>
    <w:pPr>
      <w:tabs>
        <w:tab w:val="center" w:pos="4536"/>
        <w:tab w:val="right" w:pos="9072"/>
      </w:tabs>
      <w:spacing w:after="0" w:line="240" w:lineRule="auto"/>
    </w:pPr>
  </w:style>
  <w:style w:type="character" w:customStyle="1" w:styleId="En-tteCar">
    <w:name w:val="En-tête Car"/>
    <w:basedOn w:val="Policepardfaut"/>
    <w:link w:val="En-tte"/>
    <w:uiPriority w:val="99"/>
    <w:rsid w:val="00B92639"/>
  </w:style>
  <w:style w:type="paragraph" w:styleId="Pieddepage">
    <w:name w:val="footer"/>
    <w:basedOn w:val="Normal"/>
    <w:link w:val="PieddepageCar"/>
    <w:uiPriority w:val="99"/>
    <w:unhideWhenUsed/>
    <w:rsid w:val="00B92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639"/>
  </w:style>
  <w:style w:type="table" w:styleId="Grilledutableau">
    <w:name w:val="Table Grid"/>
    <w:basedOn w:val="TableauNormal"/>
    <w:uiPriority w:val="39"/>
    <w:rsid w:val="00FC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4E44"/>
    <w:pPr>
      <w:ind w:left="720"/>
      <w:contextualSpacing/>
    </w:pPr>
  </w:style>
  <w:style w:type="character" w:styleId="Marquedecommentaire">
    <w:name w:val="annotation reference"/>
    <w:basedOn w:val="Policepardfaut"/>
    <w:uiPriority w:val="99"/>
    <w:semiHidden/>
    <w:unhideWhenUsed/>
    <w:rsid w:val="00FC4E44"/>
    <w:rPr>
      <w:sz w:val="16"/>
      <w:szCs w:val="16"/>
    </w:rPr>
  </w:style>
  <w:style w:type="paragraph" w:styleId="Commentaire">
    <w:name w:val="annotation text"/>
    <w:basedOn w:val="Normal"/>
    <w:link w:val="CommentaireCar"/>
    <w:uiPriority w:val="99"/>
    <w:semiHidden/>
    <w:unhideWhenUsed/>
    <w:rsid w:val="00FC4E44"/>
    <w:pPr>
      <w:spacing w:line="240" w:lineRule="auto"/>
    </w:pPr>
    <w:rPr>
      <w:sz w:val="20"/>
      <w:szCs w:val="20"/>
    </w:rPr>
  </w:style>
  <w:style w:type="character" w:customStyle="1" w:styleId="CommentaireCar">
    <w:name w:val="Commentaire Car"/>
    <w:basedOn w:val="Policepardfaut"/>
    <w:link w:val="Commentaire"/>
    <w:uiPriority w:val="99"/>
    <w:semiHidden/>
    <w:rsid w:val="00FC4E44"/>
    <w:rPr>
      <w:sz w:val="20"/>
      <w:szCs w:val="20"/>
    </w:rPr>
  </w:style>
  <w:style w:type="paragraph" w:styleId="Objetducommentaire">
    <w:name w:val="annotation subject"/>
    <w:basedOn w:val="Commentaire"/>
    <w:next w:val="Commentaire"/>
    <w:link w:val="ObjetducommentaireCar"/>
    <w:uiPriority w:val="99"/>
    <w:semiHidden/>
    <w:unhideWhenUsed/>
    <w:rsid w:val="00FC4E44"/>
    <w:rPr>
      <w:b/>
      <w:bCs/>
    </w:rPr>
  </w:style>
  <w:style w:type="character" w:customStyle="1" w:styleId="ObjetducommentaireCar">
    <w:name w:val="Objet du commentaire Car"/>
    <w:basedOn w:val="CommentaireCar"/>
    <w:link w:val="Objetducommentaire"/>
    <w:uiPriority w:val="99"/>
    <w:semiHidden/>
    <w:rsid w:val="00FC4E44"/>
    <w:rPr>
      <w:b/>
      <w:bCs/>
      <w:sz w:val="20"/>
      <w:szCs w:val="20"/>
    </w:rPr>
  </w:style>
  <w:style w:type="paragraph" w:styleId="Textedebulles">
    <w:name w:val="Balloon Text"/>
    <w:basedOn w:val="Normal"/>
    <w:link w:val="TextedebullesCar"/>
    <w:uiPriority w:val="99"/>
    <w:semiHidden/>
    <w:unhideWhenUsed/>
    <w:rsid w:val="00FC4E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E44"/>
    <w:rPr>
      <w:rFonts w:ascii="Segoe UI" w:hAnsi="Segoe UI" w:cs="Segoe UI"/>
      <w:sz w:val="18"/>
      <w:szCs w:val="18"/>
    </w:rPr>
  </w:style>
  <w:style w:type="table" w:customStyle="1" w:styleId="TableNormal">
    <w:name w:val="Table Normal"/>
    <w:uiPriority w:val="2"/>
    <w:semiHidden/>
    <w:unhideWhenUsed/>
    <w:qFormat/>
    <w:rsid w:val="00FC4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4E44"/>
    <w:pPr>
      <w:widowControl w:val="0"/>
      <w:autoSpaceDE w:val="0"/>
      <w:autoSpaceDN w:val="0"/>
      <w:spacing w:after="0" w:line="240" w:lineRule="auto"/>
      <w:ind w:left="321" w:right="309"/>
      <w:jc w:val="center"/>
    </w:pPr>
    <w:rPr>
      <w:rFonts w:ascii="Arial" w:eastAsia="Arial" w:hAnsi="Arial" w:cs="Arial"/>
    </w:rPr>
  </w:style>
  <w:style w:type="character" w:customStyle="1" w:styleId="st1">
    <w:name w:val="st1"/>
    <w:basedOn w:val="Policepardfaut"/>
    <w:rsid w:val="00FC4E44"/>
  </w:style>
  <w:style w:type="paragraph" w:styleId="NormalWeb">
    <w:name w:val="Normal (Web)"/>
    <w:basedOn w:val="Normal"/>
    <w:uiPriority w:val="99"/>
    <w:semiHidden/>
    <w:unhideWhenUsed/>
    <w:rsid w:val="000745C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orpsdetexte3">
    <w:name w:val="Body Text 3"/>
    <w:basedOn w:val="Normal"/>
    <w:link w:val="Corpsdetexte3Car"/>
    <w:rsid w:val="00BF7D71"/>
    <w:pPr>
      <w:overflowPunct w:val="0"/>
      <w:autoSpaceDE w:val="0"/>
      <w:autoSpaceDN w:val="0"/>
      <w:adjustRightInd w:val="0"/>
      <w:spacing w:after="120" w:line="240" w:lineRule="auto"/>
      <w:textAlignment w:val="baseline"/>
    </w:pPr>
    <w:rPr>
      <w:rFonts w:ascii="Albertus (W1)" w:eastAsia="Times New Roman" w:hAnsi="Albertus (W1)" w:cs="Times New Roman"/>
      <w:sz w:val="16"/>
      <w:szCs w:val="16"/>
      <w:lang w:eastAsia="fr-FR"/>
    </w:rPr>
  </w:style>
  <w:style w:type="character" w:customStyle="1" w:styleId="Corpsdetexte3Car">
    <w:name w:val="Corps de texte 3 Car"/>
    <w:basedOn w:val="Policepardfaut"/>
    <w:link w:val="Corpsdetexte3"/>
    <w:rsid w:val="00BF7D71"/>
    <w:rPr>
      <w:rFonts w:ascii="Albertus (W1)" w:eastAsia="Times New Roman" w:hAnsi="Albertus (W1)"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6926</Characters>
  <Application>Microsoft Office Word</Application>
  <DocSecurity>0</DocSecurity>
  <Lines>123</Lines>
  <Paragraphs>45</Paragraphs>
  <ScaleCrop>false</ScaleCrop>
  <HeadingPairs>
    <vt:vector size="2" baseType="variant">
      <vt:variant>
        <vt:lpstr>Titre</vt:lpstr>
      </vt:variant>
      <vt:variant>
        <vt:i4>1</vt:i4>
      </vt:variant>
    </vt:vector>
  </HeadingPairs>
  <TitlesOfParts>
    <vt:vector size="1" baseType="lpstr">
      <vt:lpstr/>
    </vt:vector>
  </TitlesOfParts>
  <Company>STEF</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MARCHI</dc:creator>
  <cp:lastModifiedBy>Alexandre RAULT</cp:lastModifiedBy>
  <cp:revision>2</cp:revision>
  <cp:lastPrinted>2021-03-02T17:39:00Z</cp:lastPrinted>
  <dcterms:created xsi:type="dcterms:W3CDTF">2021-03-16T08:48:00Z</dcterms:created>
  <dcterms:modified xsi:type="dcterms:W3CDTF">2021-03-16T08:48:00Z</dcterms:modified>
</cp:coreProperties>
</file>