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D0B2" w14:textId="22703CDB" w:rsidR="00752A22" w:rsidRDefault="00752A22" w:rsidP="00B03B43">
      <w:pPr>
        <w:ind w:right="-1417"/>
      </w:pPr>
    </w:p>
    <w:p w14:paraId="66BEC00C" w14:textId="77777777" w:rsidR="006049A8" w:rsidRPr="00EE4007" w:rsidRDefault="006049A8" w:rsidP="006049A8">
      <w:pPr>
        <w:jc w:val="center"/>
        <w:rPr>
          <w:rFonts w:ascii="Cambria" w:hAnsi="Cambria"/>
          <w:sz w:val="40"/>
          <w:szCs w:val="40"/>
          <w:u w:val="single"/>
        </w:rPr>
      </w:pPr>
      <w:r w:rsidRPr="00EE4007">
        <w:rPr>
          <w:rFonts w:ascii="Cambria" w:hAnsi="Cambria"/>
          <w:sz w:val="40"/>
          <w:szCs w:val="40"/>
          <w:u w:val="single"/>
        </w:rPr>
        <w:t xml:space="preserve">Diffamation et injure  </w:t>
      </w:r>
    </w:p>
    <w:p w14:paraId="3EDA6CA5" w14:textId="77777777" w:rsidR="006049A8" w:rsidRPr="00EE4007" w:rsidRDefault="006049A8" w:rsidP="006049A8">
      <w:pPr>
        <w:jc w:val="center"/>
        <w:rPr>
          <w:rFonts w:ascii="Cambria" w:hAnsi="Cambria"/>
          <w:sz w:val="40"/>
          <w:szCs w:val="40"/>
        </w:rPr>
      </w:pPr>
      <w:r w:rsidRPr="00EE4007">
        <w:rPr>
          <w:rFonts w:ascii="Cambria" w:hAnsi="Cambria"/>
          <w:sz w:val="40"/>
          <w:szCs w:val="40"/>
        </w:rPr>
        <w:t>« La propagande électorale »</w:t>
      </w:r>
    </w:p>
    <w:p w14:paraId="5C86B913" w14:textId="77777777" w:rsidR="006049A8" w:rsidRPr="00EE4007" w:rsidRDefault="006049A8" w:rsidP="006049A8">
      <w:pPr>
        <w:rPr>
          <w:rFonts w:ascii="Cambria" w:hAnsi="Cambria"/>
          <w:sz w:val="40"/>
          <w:szCs w:val="40"/>
        </w:rPr>
      </w:pPr>
    </w:p>
    <w:p w14:paraId="421E8EF0" w14:textId="77777777" w:rsidR="006049A8" w:rsidRPr="00EE4007" w:rsidRDefault="006049A8" w:rsidP="006049A8">
      <w:pPr>
        <w:rPr>
          <w:rFonts w:ascii="Cambria" w:hAnsi="Cambria"/>
          <w:sz w:val="22"/>
          <w:szCs w:val="22"/>
        </w:rPr>
      </w:pPr>
    </w:p>
    <w:p w14:paraId="37770484" w14:textId="295E71D1" w:rsidR="006049A8" w:rsidRPr="00EE4007" w:rsidRDefault="006049A8" w:rsidP="006049A8">
      <w:pPr>
        <w:rPr>
          <w:rFonts w:ascii="Cambria" w:hAnsi="Cambria"/>
          <w:sz w:val="22"/>
          <w:szCs w:val="22"/>
        </w:rPr>
      </w:pPr>
      <w:r w:rsidRPr="00EE4007">
        <w:rPr>
          <w:rFonts w:ascii="Cambria" w:hAnsi="Cambria"/>
          <w:sz w:val="22"/>
          <w:szCs w:val="22"/>
        </w:rPr>
        <w:t xml:space="preserve">La propagande électorale s’exerce principalement par le biais de distribution de tract et de publications syndicales. </w:t>
      </w:r>
    </w:p>
    <w:p w14:paraId="27413698" w14:textId="77777777" w:rsidR="006049A8" w:rsidRPr="00EE4007" w:rsidRDefault="006049A8" w:rsidP="006049A8">
      <w:pPr>
        <w:rPr>
          <w:rFonts w:ascii="Cambria" w:hAnsi="Cambria"/>
          <w:sz w:val="22"/>
          <w:szCs w:val="22"/>
        </w:rPr>
      </w:pPr>
    </w:p>
    <w:p w14:paraId="6BF50408" w14:textId="77777777" w:rsidR="006049A8" w:rsidRPr="00EE4007" w:rsidRDefault="006049A8" w:rsidP="006049A8">
      <w:pPr>
        <w:rPr>
          <w:rFonts w:ascii="Cambria" w:hAnsi="Cambria"/>
          <w:sz w:val="22"/>
          <w:szCs w:val="22"/>
        </w:rPr>
      </w:pPr>
      <w:r w:rsidRPr="00EE4007">
        <w:rPr>
          <w:rFonts w:ascii="Cambria" w:hAnsi="Cambria"/>
          <w:sz w:val="22"/>
          <w:szCs w:val="22"/>
        </w:rPr>
        <w:t>Le contenu des communications syndicales est librement déterminé par le syndicat sous les deux réserves suivantes :</w:t>
      </w:r>
    </w:p>
    <w:p w14:paraId="31A89D12" w14:textId="77777777" w:rsidR="006049A8" w:rsidRPr="00EE4007" w:rsidRDefault="006049A8" w:rsidP="006049A8">
      <w:pPr>
        <w:rPr>
          <w:rFonts w:ascii="Cambria" w:hAnsi="Cambria"/>
          <w:sz w:val="22"/>
          <w:szCs w:val="22"/>
        </w:rPr>
      </w:pPr>
      <w:r w:rsidRPr="00EE4007">
        <w:rPr>
          <w:rFonts w:ascii="Cambria" w:hAnsi="Cambria"/>
          <w:sz w:val="22"/>
          <w:szCs w:val="22"/>
        </w:rPr>
        <w:t>– les communications doivent avoir une nature syndicale ;</w:t>
      </w:r>
    </w:p>
    <w:p w14:paraId="2C9E8040" w14:textId="0BD82CA1" w:rsidR="006049A8" w:rsidRPr="00EE4007" w:rsidRDefault="006049A8" w:rsidP="006049A8">
      <w:pPr>
        <w:rPr>
          <w:rFonts w:ascii="Cambria" w:hAnsi="Cambria"/>
          <w:sz w:val="22"/>
          <w:szCs w:val="22"/>
        </w:rPr>
      </w:pPr>
      <w:r w:rsidRPr="00EE4007">
        <w:rPr>
          <w:rFonts w:ascii="Cambria" w:hAnsi="Cambria"/>
          <w:sz w:val="22"/>
          <w:szCs w:val="22"/>
        </w:rPr>
        <w:t>– les dispositions relatives à la presse doivent être respectées.</w:t>
      </w:r>
    </w:p>
    <w:p w14:paraId="7F34D3EF" w14:textId="77777777" w:rsidR="006049A8" w:rsidRPr="00EE4007" w:rsidRDefault="006049A8" w:rsidP="006049A8">
      <w:pPr>
        <w:rPr>
          <w:rFonts w:ascii="Cambria" w:hAnsi="Cambria"/>
          <w:sz w:val="22"/>
          <w:szCs w:val="22"/>
        </w:rPr>
      </w:pPr>
    </w:p>
    <w:p w14:paraId="57AAE061" w14:textId="28B3618D" w:rsidR="006049A8" w:rsidRPr="00EE4007" w:rsidRDefault="006049A8" w:rsidP="006049A8">
      <w:pPr>
        <w:rPr>
          <w:rFonts w:ascii="Cambria" w:hAnsi="Cambria"/>
          <w:sz w:val="22"/>
          <w:szCs w:val="22"/>
        </w:rPr>
      </w:pPr>
      <w:r w:rsidRPr="00EE4007">
        <w:rPr>
          <w:rFonts w:ascii="Cambria" w:hAnsi="Cambria"/>
          <w:sz w:val="22"/>
          <w:szCs w:val="22"/>
        </w:rPr>
        <w:t>Les dispositions issues de la « </w:t>
      </w:r>
      <w:r w:rsidRPr="00EE4007">
        <w:rPr>
          <w:rFonts w:ascii="Cambria" w:hAnsi="Cambria"/>
          <w:b/>
          <w:bCs/>
          <w:sz w:val="22"/>
          <w:szCs w:val="22"/>
        </w:rPr>
        <w:t>loi</w:t>
      </w:r>
      <w:r w:rsidRPr="00EE4007">
        <w:rPr>
          <w:rFonts w:ascii="Cambria" w:hAnsi="Cambria"/>
          <w:sz w:val="22"/>
          <w:szCs w:val="22"/>
        </w:rPr>
        <w:t xml:space="preserve"> du 29 juillet 1881 sur </w:t>
      </w:r>
      <w:r w:rsidRPr="00EE4007">
        <w:rPr>
          <w:rFonts w:ascii="Cambria" w:hAnsi="Cambria"/>
          <w:b/>
          <w:bCs/>
          <w:sz w:val="22"/>
          <w:szCs w:val="22"/>
        </w:rPr>
        <w:t>la liberté de la presse</w:t>
      </w:r>
      <w:r w:rsidRPr="00EE4007">
        <w:rPr>
          <w:rFonts w:ascii="Cambria" w:hAnsi="Cambria"/>
          <w:sz w:val="22"/>
          <w:szCs w:val="22"/>
        </w:rPr>
        <w:t xml:space="preserve"> » sanctionnent pénalement les </w:t>
      </w:r>
      <w:r w:rsidRPr="00EE4007">
        <w:rPr>
          <w:rFonts w:ascii="Cambria" w:hAnsi="Cambria"/>
          <w:b/>
          <w:bCs/>
          <w:sz w:val="22"/>
          <w:szCs w:val="22"/>
        </w:rPr>
        <w:t>délits de diffamation et d’injure</w:t>
      </w:r>
      <w:r w:rsidRPr="00EE4007">
        <w:rPr>
          <w:rFonts w:ascii="Cambria" w:hAnsi="Cambria"/>
          <w:sz w:val="22"/>
          <w:szCs w:val="22"/>
        </w:rPr>
        <w:t xml:space="preserve"> (Circ. DRT n° 13, 30 nov. 1984) et permettent notamment d'obtenir le retrait d'un affichage, la plupart du temps en référé si les conditions sont réunies.</w:t>
      </w:r>
    </w:p>
    <w:p w14:paraId="04B21D17" w14:textId="77777777" w:rsidR="006049A8" w:rsidRPr="00EE4007" w:rsidRDefault="006049A8" w:rsidP="006049A8">
      <w:pPr>
        <w:rPr>
          <w:rFonts w:ascii="Cambria" w:hAnsi="Cambria"/>
          <w:sz w:val="22"/>
          <w:szCs w:val="22"/>
        </w:rPr>
      </w:pPr>
    </w:p>
    <w:p w14:paraId="516ECDDE" w14:textId="239884CF" w:rsidR="006049A8" w:rsidRDefault="006049A8" w:rsidP="006049A8">
      <w:pPr>
        <w:rPr>
          <w:rFonts w:ascii="Cambria" w:hAnsi="Cambria"/>
          <w:sz w:val="22"/>
          <w:szCs w:val="22"/>
        </w:rPr>
      </w:pPr>
      <w:r w:rsidRPr="00EE4007">
        <w:rPr>
          <w:rFonts w:ascii="Cambria" w:hAnsi="Cambria"/>
          <w:sz w:val="22"/>
          <w:szCs w:val="22"/>
        </w:rPr>
        <w:t xml:space="preserve">Par conséquent, les communications syndicales doivent être, ni diffamatoire, ni injurieuse. </w:t>
      </w:r>
    </w:p>
    <w:p w14:paraId="2D2BAE1A" w14:textId="77777777" w:rsidR="00EE4007" w:rsidRPr="00EE4007" w:rsidRDefault="00EE4007" w:rsidP="006049A8">
      <w:pPr>
        <w:rPr>
          <w:rFonts w:ascii="Cambria" w:hAnsi="Cambria"/>
          <w:sz w:val="22"/>
          <w:szCs w:val="22"/>
        </w:rPr>
      </w:pPr>
    </w:p>
    <w:p w14:paraId="22DC9551" w14:textId="77777777" w:rsidR="006049A8" w:rsidRPr="00EE4007" w:rsidRDefault="006049A8" w:rsidP="006049A8">
      <w:pPr>
        <w:rPr>
          <w:rFonts w:ascii="Cambria" w:hAnsi="Cambria"/>
          <w:sz w:val="22"/>
          <w:szCs w:val="22"/>
        </w:rPr>
      </w:pPr>
    </w:p>
    <w:p w14:paraId="03590BD6" w14:textId="4012BE0B" w:rsidR="006049A8" w:rsidRPr="00EE4007" w:rsidRDefault="006049A8" w:rsidP="006049A8">
      <w:pPr>
        <w:jc w:val="center"/>
        <w:rPr>
          <w:rFonts w:ascii="Cambria" w:hAnsi="Cambria"/>
          <w:sz w:val="22"/>
          <w:szCs w:val="22"/>
          <w:u w:val="single"/>
        </w:rPr>
      </w:pPr>
      <w:r w:rsidRPr="00EE4007">
        <w:rPr>
          <w:rFonts w:ascii="Cambria" w:hAnsi="Cambria"/>
          <w:sz w:val="22"/>
          <w:szCs w:val="22"/>
          <w:u w:val="single"/>
        </w:rPr>
        <w:t>La diffamation</w:t>
      </w:r>
    </w:p>
    <w:p w14:paraId="2A1178CD" w14:textId="77777777" w:rsidR="006049A8" w:rsidRPr="00EE4007" w:rsidRDefault="006049A8" w:rsidP="006049A8">
      <w:pPr>
        <w:jc w:val="center"/>
        <w:rPr>
          <w:rFonts w:ascii="Cambria" w:hAnsi="Cambria"/>
          <w:sz w:val="22"/>
          <w:szCs w:val="22"/>
          <w:u w:val="single"/>
        </w:rPr>
      </w:pPr>
    </w:p>
    <w:p w14:paraId="0A27C831" w14:textId="7B540AEA" w:rsidR="006049A8" w:rsidRPr="00EE4007" w:rsidRDefault="006049A8" w:rsidP="006049A8">
      <w:pPr>
        <w:rPr>
          <w:rFonts w:ascii="Cambria" w:hAnsi="Cambria"/>
          <w:sz w:val="22"/>
          <w:szCs w:val="22"/>
        </w:rPr>
      </w:pPr>
      <w:r w:rsidRPr="00EE4007">
        <w:rPr>
          <w:rFonts w:ascii="Cambria" w:hAnsi="Cambria"/>
          <w:sz w:val="22"/>
          <w:szCs w:val="22"/>
        </w:rPr>
        <w:t xml:space="preserve">« </w:t>
      </w:r>
      <w:r w:rsidRPr="00EE4007">
        <w:rPr>
          <w:rFonts w:ascii="Cambria" w:hAnsi="Cambria"/>
          <w:b/>
          <w:bCs/>
          <w:i/>
          <w:iCs/>
          <w:sz w:val="22"/>
          <w:szCs w:val="22"/>
        </w:rPr>
        <w:t>Toute allégation ou imputation d'un fait qui porte atteinte à l'honneur ou à la considération de la personne ou du corps auquel le fait est imputé est une diffamation</w:t>
      </w:r>
      <w:r w:rsidRPr="00EE4007">
        <w:rPr>
          <w:rFonts w:ascii="Cambria" w:hAnsi="Cambria"/>
          <w:sz w:val="22"/>
          <w:szCs w:val="22"/>
        </w:rPr>
        <w:t>. […]. » (L. 29 juill. 1881, art. 29)</w:t>
      </w:r>
    </w:p>
    <w:p w14:paraId="6233A6EC" w14:textId="77777777" w:rsidR="006049A8" w:rsidRPr="00EE4007" w:rsidRDefault="006049A8" w:rsidP="006049A8">
      <w:pPr>
        <w:rPr>
          <w:rFonts w:ascii="Cambria" w:hAnsi="Cambria"/>
          <w:sz w:val="22"/>
          <w:szCs w:val="22"/>
        </w:rPr>
      </w:pPr>
    </w:p>
    <w:p w14:paraId="3337C32A" w14:textId="741F59DD" w:rsidR="006049A8" w:rsidRPr="00EE4007" w:rsidRDefault="006049A8" w:rsidP="006049A8">
      <w:pPr>
        <w:rPr>
          <w:rFonts w:ascii="Cambria" w:hAnsi="Cambria"/>
          <w:sz w:val="22"/>
          <w:szCs w:val="22"/>
        </w:rPr>
      </w:pPr>
      <w:r w:rsidRPr="00EE4007">
        <w:rPr>
          <w:rFonts w:ascii="Cambria" w:hAnsi="Cambria"/>
          <w:sz w:val="22"/>
          <w:szCs w:val="22"/>
        </w:rPr>
        <w:t xml:space="preserve">Ainsi, pour être caractérisé, l’auteur doit imputer </w:t>
      </w:r>
      <w:r w:rsidRPr="00EE4007">
        <w:rPr>
          <w:rFonts w:ascii="Cambria" w:hAnsi="Cambria"/>
          <w:b/>
          <w:bCs/>
          <w:sz w:val="22"/>
          <w:szCs w:val="22"/>
        </w:rPr>
        <w:t>des faits précis à l’encontre d’une autre personne</w:t>
      </w:r>
      <w:r w:rsidRPr="00EE4007">
        <w:rPr>
          <w:rFonts w:ascii="Cambria" w:hAnsi="Cambria"/>
          <w:sz w:val="22"/>
          <w:szCs w:val="22"/>
        </w:rPr>
        <w:t xml:space="preserve">. L’accusation sur un tract par exemple, </w:t>
      </w:r>
      <w:r w:rsidRPr="00EE4007">
        <w:rPr>
          <w:rFonts w:ascii="Cambria" w:hAnsi="Cambria"/>
          <w:b/>
          <w:bCs/>
          <w:sz w:val="22"/>
          <w:szCs w:val="22"/>
        </w:rPr>
        <w:t xml:space="preserve">doit être un fait daté et contenir des paroles précises, de surcroît, le fait ne doit pas être vague. </w:t>
      </w:r>
      <w:r w:rsidRPr="00EE4007">
        <w:rPr>
          <w:rFonts w:ascii="Cambria" w:hAnsi="Cambria"/>
          <w:sz w:val="22"/>
          <w:szCs w:val="22"/>
        </w:rPr>
        <w:t>Dans le cas contraire, ce n’est pas une diffamation.</w:t>
      </w:r>
    </w:p>
    <w:p w14:paraId="39EC2A13" w14:textId="77777777" w:rsidR="006049A8" w:rsidRPr="00EE4007" w:rsidRDefault="006049A8" w:rsidP="006049A8">
      <w:pPr>
        <w:rPr>
          <w:rFonts w:ascii="Cambria" w:hAnsi="Cambria"/>
          <w:sz w:val="22"/>
          <w:szCs w:val="22"/>
        </w:rPr>
      </w:pPr>
    </w:p>
    <w:p w14:paraId="7D46E10B" w14:textId="77777777" w:rsidR="006049A8" w:rsidRPr="00EE4007" w:rsidRDefault="006049A8" w:rsidP="006049A8">
      <w:pPr>
        <w:rPr>
          <w:rFonts w:ascii="Cambria" w:hAnsi="Cambria"/>
          <w:sz w:val="22"/>
          <w:szCs w:val="22"/>
        </w:rPr>
      </w:pPr>
      <w:r w:rsidRPr="00EE4007">
        <w:rPr>
          <w:rFonts w:ascii="Cambria" w:hAnsi="Cambria"/>
          <w:sz w:val="22"/>
          <w:szCs w:val="22"/>
        </w:rPr>
        <w:t>Les juridictions ont une appréciation très souple de la liberté d’expression en matière syndicale et considèrent régulièrement des propos forts et/ou outranciers comme admissibles en raison de la notion de polémique syndicale.</w:t>
      </w:r>
    </w:p>
    <w:p w14:paraId="23346B71" w14:textId="77777777" w:rsidR="006049A8" w:rsidRPr="00EE4007" w:rsidRDefault="006049A8" w:rsidP="006049A8">
      <w:pPr>
        <w:rPr>
          <w:rFonts w:ascii="Cambria" w:hAnsi="Cambria"/>
          <w:sz w:val="22"/>
          <w:szCs w:val="22"/>
        </w:rPr>
      </w:pPr>
    </w:p>
    <w:p w14:paraId="2D0A9F0D" w14:textId="3416F471" w:rsidR="006049A8" w:rsidRPr="00EE4007" w:rsidRDefault="006049A8" w:rsidP="006049A8">
      <w:pPr>
        <w:rPr>
          <w:rFonts w:ascii="Cambria" w:hAnsi="Cambria"/>
          <w:sz w:val="22"/>
          <w:szCs w:val="22"/>
        </w:rPr>
      </w:pPr>
      <w:r w:rsidRPr="00EE4007">
        <w:rPr>
          <w:rFonts w:ascii="Cambria" w:hAnsi="Cambria"/>
          <w:sz w:val="22"/>
          <w:szCs w:val="22"/>
        </w:rPr>
        <w:t xml:space="preserve">La diffamation, qui constitue </w:t>
      </w:r>
      <w:r w:rsidRPr="00EE4007">
        <w:rPr>
          <w:rFonts w:ascii="Cambria" w:hAnsi="Cambria"/>
          <w:b/>
          <w:bCs/>
          <w:sz w:val="22"/>
          <w:szCs w:val="22"/>
        </w:rPr>
        <w:t>un délit</w:t>
      </w:r>
      <w:r w:rsidRPr="00EE4007">
        <w:rPr>
          <w:rFonts w:ascii="Cambria" w:hAnsi="Cambria"/>
          <w:sz w:val="22"/>
          <w:szCs w:val="22"/>
        </w:rPr>
        <w:t>, peut être publique ou non publique.</w:t>
      </w:r>
    </w:p>
    <w:p w14:paraId="6FAC6F36" w14:textId="77777777" w:rsidR="006049A8" w:rsidRPr="00EE4007" w:rsidRDefault="006049A8" w:rsidP="006049A8">
      <w:pPr>
        <w:rPr>
          <w:rFonts w:ascii="Cambria" w:hAnsi="Cambria"/>
          <w:sz w:val="22"/>
          <w:szCs w:val="22"/>
        </w:rPr>
      </w:pPr>
    </w:p>
    <w:p w14:paraId="0B8476C4" w14:textId="4533547E" w:rsidR="006049A8" w:rsidRPr="00EE4007" w:rsidRDefault="006049A8" w:rsidP="006049A8">
      <w:pPr>
        <w:rPr>
          <w:rFonts w:ascii="Cambria" w:hAnsi="Cambria"/>
          <w:sz w:val="22"/>
          <w:szCs w:val="22"/>
        </w:rPr>
      </w:pPr>
      <w:r w:rsidRPr="00EE4007">
        <w:rPr>
          <w:rFonts w:ascii="Cambria" w:hAnsi="Cambria"/>
          <w:sz w:val="22"/>
          <w:szCs w:val="22"/>
        </w:rPr>
        <w:t xml:space="preserve">Si celle-ci a été prononcée dans un cadre restreint (exemple : en réunion), elle est considérée comme non publique. Elle est passible d’une amende de 38 euros, soit une contravention de première classe (C. </w:t>
      </w:r>
      <w:proofErr w:type="spellStart"/>
      <w:r w:rsidRPr="00EE4007">
        <w:rPr>
          <w:rFonts w:ascii="Cambria" w:hAnsi="Cambria"/>
          <w:sz w:val="22"/>
          <w:szCs w:val="22"/>
        </w:rPr>
        <w:t>pen</w:t>
      </w:r>
      <w:proofErr w:type="spellEnd"/>
      <w:r w:rsidRPr="00EE4007">
        <w:rPr>
          <w:rFonts w:ascii="Cambria" w:hAnsi="Cambria"/>
          <w:sz w:val="22"/>
          <w:szCs w:val="22"/>
        </w:rPr>
        <w:t>., art. L. 131-13, art. R. 621-1 et R. 621-2).</w:t>
      </w:r>
    </w:p>
    <w:p w14:paraId="5D3D3293" w14:textId="77777777" w:rsidR="006049A8" w:rsidRPr="00EE4007" w:rsidRDefault="006049A8" w:rsidP="006049A8">
      <w:pPr>
        <w:rPr>
          <w:rFonts w:ascii="Cambria" w:hAnsi="Cambria"/>
          <w:sz w:val="22"/>
          <w:szCs w:val="22"/>
        </w:rPr>
      </w:pPr>
    </w:p>
    <w:p w14:paraId="73CCE3CA" w14:textId="0FCA1237" w:rsidR="006049A8" w:rsidRPr="00EE4007" w:rsidRDefault="006049A8" w:rsidP="006049A8">
      <w:pPr>
        <w:rPr>
          <w:rFonts w:ascii="Cambria" w:hAnsi="Cambria"/>
          <w:sz w:val="22"/>
          <w:szCs w:val="22"/>
        </w:rPr>
      </w:pPr>
      <w:r w:rsidRPr="00EE4007">
        <w:rPr>
          <w:rFonts w:ascii="Cambria" w:hAnsi="Cambria"/>
          <w:sz w:val="22"/>
          <w:szCs w:val="22"/>
        </w:rPr>
        <w:t xml:space="preserve">Si celle-ci peut être entendue, vue ou lue par un grand nombre de personnes ou par le grand public, cette diffamation est considérée comme publique et est passible d'une amende de 12 000 euros (L. 29 juill. 1881, art. 32 et 33). </w:t>
      </w:r>
    </w:p>
    <w:p w14:paraId="56296F2B" w14:textId="77777777" w:rsidR="006049A8" w:rsidRPr="00EE4007" w:rsidRDefault="006049A8" w:rsidP="006049A8">
      <w:pPr>
        <w:rPr>
          <w:rFonts w:ascii="Cambria" w:hAnsi="Cambria"/>
          <w:sz w:val="22"/>
          <w:szCs w:val="22"/>
        </w:rPr>
      </w:pPr>
    </w:p>
    <w:p w14:paraId="164BAB21" w14:textId="29733B1A" w:rsidR="006049A8" w:rsidRDefault="006049A8" w:rsidP="006049A8">
      <w:pPr>
        <w:rPr>
          <w:rFonts w:ascii="Cambria" w:hAnsi="Cambria"/>
          <w:sz w:val="22"/>
          <w:szCs w:val="22"/>
        </w:rPr>
      </w:pPr>
      <w:r w:rsidRPr="00EE4007">
        <w:rPr>
          <w:rFonts w:ascii="Cambria" w:hAnsi="Cambria"/>
          <w:sz w:val="22"/>
          <w:szCs w:val="22"/>
        </w:rPr>
        <w:t xml:space="preserve">A titre informatif, il a été jugé que l'affichage dans l'entreprise d'une communication (syndicale) diffamatoire n'est pas public (Cass. </w:t>
      </w:r>
      <w:proofErr w:type="spellStart"/>
      <w:proofErr w:type="gramStart"/>
      <w:r w:rsidRPr="00EE4007">
        <w:rPr>
          <w:rFonts w:ascii="Cambria" w:hAnsi="Cambria"/>
          <w:sz w:val="22"/>
          <w:szCs w:val="22"/>
        </w:rPr>
        <w:t>crim</w:t>
      </w:r>
      <w:proofErr w:type="spellEnd"/>
      <w:proofErr w:type="gramEnd"/>
      <w:r w:rsidRPr="00EE4007">
        <w:rPr>
          <w:rFonts w:ascii="Cambria" w:hAnsi="Cambria"/>
          <w:sz w:val="22"/>
          <w:szCs w:val="22"/>
        </w:rPr>
        <w:t>., 26 janv. 1993, n° 91-80.198).</w:t>
      </w:r>
    </w:p>
    <w:p w14:paraId="44AF12B6" w14:textId="0B6DA7C9" w:rsidR="00EE4007" w:rsidRDefault="00EE4007" w:rsidP="006049A8">
      <w:pPr>
        <w:rPr>
          <w:rFonts w:ascii="Cambria" w:hAnsi="Cambria"/>
          <w:sz w:val="22"/>
          <w:szCs w:val="22"/>
        </w:rPr>
      </w:pPr>
    </w:p>
    <w:p w14:paraId="08CA916E" w14:textId="5E39E068" w:rsidR="00EE4007" w:rsidRDefault="00EE4007" w:rsidP="006049A8">
      <w:pPr>
        <w:rPr>
          <w:rFonts w:ascii="Cambria" w:hAnsi="Cambria"/>
          <w:sz w:val="22"/>
          <w:szCs w:val="22"/>
        </w:rPr>
      </w:pPr>
    </w:p>
    <w:p w14:paraId="6D62DF81" w14:textId="77777777" w:rsidR="00EE4007" w:rsidRPr="00EE4007" w:rsidRDefault="00EE4007" w:rsidP="006049A8">
      <w:pPr>
        <w:rPr>
          <w:rFonts w:ascii="Cambria" w:hAnsi="Cambria"/>
          <w:sz w:val="22"/>
          <w:szCs w:val="22"/>
        </w:rPr>
      </w:pPr>
    </w:p>
    <w:p w14:paraId="6FF0D672" w14:textId="77777777" w:rsidR="006049A8" w:rsidRPr="00EE4007" w:rsidRDefault="006049A8" w:rsidP="006049A8">
      <w:pPr>
        <w:rPr>
          <w:rFonts w:ascii="Cambria" w:hAnsi="Cambria"/>
          <w:sz w:val="22"/>
          <w:szCs w:val="22"/>
        </w:rPr>
      </w:pPr>
    </w:p>
    <w:p w14:paraId="00A2A4B0" w14:textId="77777777" w:rsidR="00EE4007" w:rsidRDefault="00EE4007" w:rsidP="006049A8">
      <w:pPr>
        <w:jc w:val="center"/>
        <w:rPr>
          <w:rFonts w:ascii="Cambria" w:hAnsi="Cambria"/>
          <w:sz w:val="22"/>
          <w:szCs w:val="22"/>
          <w:u w:val="single"/>
        </w:rPr>
      </w:pPr>
    </w:p>
    <w:p w14:paraId="34A7F684" w14:textId="77777777" w:rsidR="00EE4007" w:rsidRDefault="00EE4007" w:rsidP="006049A8">
      <w:pPr>
        <w:jc w:val="center"/>
        <w:rPr>
          <w:rFonts w:ascii="Cambria" w:hAnsi="Cambria"/>
          <w:sz w:val="22"/>
          <w:szCs w:val="22"/>
          <w:u w:val="single"/>
        </w:rPr>
      </w:pPr>
    </w:p>
    <w:p w14:paraId="29F0DC4D" w14:textId="77777777" w:rsidR="00EE4007" w:rsidRDefault="00EE4007" w:rsidP="006049A8">
      <w:pPr>
        <w:jc w:val="center"/>
        <w:rPr>
          <w:rFonts w:ascii="Cambria" w:hAnsi="Cambria"/>
          <w:sz w:val="22"/>
          <w:szCs w:val="22"/>
          <w:u w:val="single"/>
        </w:rPr>
      </w:pPr>
    </w:p>
    <w:p w14:paraId="71D06372" w14:textId="77777777" w:rsidR="00EE4007" w:rsidRDefault="00EE4007" w:rsidP="006049A8">
      <w:pPr>
        <w:jc w:val="center"/>
        <w:rPr>
          <w:rFonts w:ascii="Cambria" w:hAnsi="Cambria"/>
          <w:sz w:val="22"/>
          <w:szCs w:val="22"/>
          <w:u w:val="single"/>
        </w:rPr>
      </w:pPr>
    </w:p>
    <w:p w14:paraId="055FBBDE" w14:textId="18403225" w:rsidR="006049A8" w:rsidRPr="00EE4007" w:rsidRDefault="006049A8" w:rsidP="006049A8">
      <w:pPr>
        <w:jc w:val="center"/>
        <w:rPr>
          <w:rFonts w:ascii="Cambria" w:hAnsi="Cambria"/>
          <w:sz w:val="22"/>
          <w:szCs w:val="22"/>
          <w:u w:val="single"/>
        </w:rPr>
      </w:pPr>
      <w:r w:rsidRPr="00EE4007">
        <w:rPr>
          <w:rFonts w:ascii="Cambria" w:hAnsi="Cambria"/>
          <w:sz w:val="22"/>
          <w:szCs w:val="22"/>
          <w:u w:val="single"/>
        </w:rPr>
        <w:t>L’injure</w:t>
      </w:r>
    </w:p>
    <w:p w14:paraId="5CBB06AB" w14:textId="77777777" w:rsidR="006049A8" w:rsidRPr="00EE4007" w:rsidRDefault="006049A8" w:rsidP="006049A8">
      <w:pPr>
        <w:rPr>
          <w:rFonts w:ascii="Cambria" w:hAnsi="Cambria"/>
          <w:sz w:val="22"/>
          <w:szCs w:val="22"/>
        </w:rPr>
      </w:pPr>
    </w:p>
    <w:p w14:paraId="44B6EF37" w14:textId="0DFBABA3" w:rsidR="006049A8" w:rsidRPr="00EE4007" w:rsidRDefault="006049A8" w:rsidP="006049A8">
      <w:pPr>
        <w:rPr>
          <w:rFonts w:ascii="Cambria" w:hAnsi="Cambria"/>
          <w:sz w:val="22"/>
          <w:szCs w:val="22"/>
        </w:rPr>
      </w:pPr>
      <w:r w:rsidRPr="00EE4007">
        <w:rPr>
          <w:rFonts w:ascii="Cambria" w:hAnsi="Cambria"/>
          <w:sz w:val="22"/>
          <w:szCs w:val="22"/>
        </w:rPr>
        <w:t xml:space="preserve"> « </w:t>
      </w:r>
      <w:r w:rsidRPr="00EE4007">
        <w:rPr>
          <w:rFonts w:ascii="Cambria" w:hAnsi="Cambria"/>
          <w:b/>
          <w:bCs/>
          <w:i/>
          <w:iCs/>
          <w:sz w:val="22"/>
          <w:szCs w:val="22"/>
        </w:rPr>
        <w:t>Toute expression outrageante, terme de mépris ou invective qui ne renferme l'imputation d'aucun fait est une injure</w:t>
      </w:r>
      <w:r w:rsidRPr="00EE4007">
        <w:rPr>
          <w:rFonts w:ascii="Cambria" w:hAnsi="Cambria"/>
          <w:i/>
          <w:iCs/>
          <w:sz w:val="22"/>
          <w:szCs w:val="22"/>
        </w:rPr>
        <w:t xml:space="preserve">. </w:t>
      </w:r>
      <w:r w:rsidRPr="00EE4007">
        <w:rPr>
          <w:rFonts w:ascii="Cambria" w:hAnsi="Cambria"/>
          <w:sz w:val="22"/>
          <w:szCs w:val="22"/>
        </w:rPr>
        <w:t>» (L. 29 juill. 1881, art. 29, alinéa. 2)</w:t>
      </w:r>
    </w:p>
    <w:p w14:paraId="0AF433B5" w14:textId="77777777" w:rsidR="006049A8" w:rsidRPr="00EE4007" w:rsidRDefault="006049A8" w:rsidP="006049A8">
      <w:pPr>
        <w:rPr>
          <w:rFonts w:ascii="Cambria" w:hAnsi="Cambria"/>
          <w:sz w:val="22"/>
          <w:szCs w:val="22"/>
        </w:rPr>
      </w:pPr>
    </w:p>
    <w:p w14:paraId="3903FA55" w14:textId="55704FAA" w:rsidR="006049A8" w:rsidRPr="00EE4007" w:rsidRDefault="006049A8" w:rsidP="006049A8">
      <w:pPr>
        <w:rPr>
          <w:rFonts w:ascii="Cambria" w:hAnsi="Cambria"/>
          <w:sz w:val="22"/>
          <w:szCs w:val="22"/>
        </w:rPr>
      </w:pPr>
      <w:r w:rsidRPr="00EE4007">
        <w:rPr>
          <w:rFonts w:ascii="Cambria" w:hAnsi="Cambria"/>
          <w:sz w:val="22"/>
          <w:szCs w:val="22"/>
        </w:rPr>
        <w:t>Ainsi, l’injure peut être définie comme une parole, un écrit qui porte atteinte à l’honneur et à la considération de la personne.</w:t>
      </w:r>
    </w:p>
    <w:p w14:paraId="50AD0D57" w14:textId="77777777" w:rsidR="006049A8" w:rsidRPr="00EE4007" w:rsidRDefault="006049A8" w:rsidP="006049A8">
      <w:pPr>
        <w:rPr>
          <w:rFonts w:ascii="Cambria" w:hAnsi="Cambria"/>
          <w:sz w:val="22"/>
          <w:szCs w:val="22"/>
        </w:rPr>
      </w:pPr>
    </w:p>
    <w:p w14:paraId="68A75130" w14:textId="6769F7D1" w:rsidR="006049A8" w:rsidRPr="00EE4007" w:rsidRDefault="006049A8" w:rsidP="006049A8">
      <w:pPr>
        <w:rPr>
          <w:rFonts w:ascii="Cambria" w:hAnsi="Cambria"/>
          <w:sz w:val="22"/>
          <w:szCs w:val="22"/>
        </w:rPr>
      </w:pPr>
      <w:r w:rsidRPr="00EE4007">
        <w:rPr>
          <w:rFonts w:ascii="Cambria" w:hAnsi="Cambria"/>
          <w:sz w:val="22"/>
          <w:szCs w:val="22"/>
        </w:rPr>
        <w:t>De plus, comme pour la diffamation, il sera également nécessaire de déterminer avec précision où les propos ont été tenus afin de déterminer si l’injure est privée ou publique.</w:t>
      </w:r>
    </w:p>
    <w:p w14:paraId="6754F23A" w14:textId="77777777" w:rsidR="006049A8" w:rsidRPr="00EE4007" w:rsidRDefault="006049A8" w:rsidP="006049A8">
      <w:pPr>
        <w:rPr>
          <w:rFonts w:ascii="Cambria" w:hAnsi="Cambria"/>
          <w:sz w:val="22"/>
          <w:szCs w:val="22"/>
        </w:rPr>
      </w:pPr>
    </w:p>
    <w:p w14:paraId="1975EA2A" w14:textId="5BA516D6" w:rsidR="006049A8" w:rsidRPr="00EE4007" w:rsidRDefault="006049A8" w:rsidP="006049A8">
      <w:pPr>
        <w:rPr>
          <w:rFonts w:ascii="Cambria" w:hAnsi="Cambria"/>
          <w:sz w:val="22"/>
          <w:szCs w:val="22"/>
        </w:rPr>
      </w:pPr>
      <w:r w:rsidRPr="00EE4007">
        <w:rPr>
          <w:rFonts w:ascii="Cambria" w:hAnsi="Cambria"/>
          <w:sz w:val="22"/>
          <w:szCs w:val="22"/>
        </w:rPr>
        <w:t xml:space="preserve">L'injure publique (L. 29 juill. 1881, art. 29), est passible d'une amende de 12 000 euros (L. 29 juill. 1881, art. 32 et 33). </w:t>
      </w:r>
    </w:p>
    <w:p w14:paraId="107FBBAD" w14:textId="77777777" w:rsidR="006049A8" w:rsidRPr="00EE4007" w:rsidRDefault="006049A8" w:rsidP="006049A8">
      <w:pPr>
        <w:rPr>
          <w:rFonts w:ascii="Cambria" w:hAnsi="Cambria"/>
          <w:sz w:val="22"/>
          <w:szCs w:val="22"/>
        </w:rPr>
      </w:pPr>
      <w:r w:rsidRPr="00EE4007">
        <w:rPr>
          <w:rFonts w:ascii="Cambria" w:hAnsi="Cambria"/>
          <w:sz w:val="22"/>
          <w:szCs w:val="22"/>
        </w:rPr>
        <w:t xml:space="preserve">À l'inverse, l'injure non publique est passible d’une amende de 38 euros, soit une contravention de première classe (C. </w:t>
      </w:r>
      <w:proofErr w:type="spellStart"/>
      <w:r w:rsidRPr="00EE4007">
        <w:rPr>
          <w:rFonts w:ascii="Cambria" w:hAnsi="Cambria"/>
          <w:sz w:val="22"/>
          <w:szCs w:val="22"/>
        </w:rPr>
        <w:t>pen</w:t>
      </w:r>
      <w:proofErr w:type="spellEnd"/>
      <w:r w:rsidRPr="00EE4007">
        <w:rPr>
          <w:rFonts w:ascii="Cambria" w:hAnsi="Cambria"/>
          <w:sz w:val="22"/>
          <w:szCs w:val="22"/>
        </w:rPr>
        <w:t xml:space="preserve">., art. R. 621-1 ; R. 621-2 ; L. 131-13). </w:t>
      </w:r>
    </w:p>
    <w:p w14:paraId="0F4FA79A" w14:textId="77777777" w:rsidR="006049A8" w:rsidRPr="00EE4007" w:rsidRDefault="006049A8" w:rsidP="006049A8">
      <w:pPr>
        <w:rPr>
          <w:rFonts w:ascii="Cambria" w:hAnsi="Cambria"/>
          <w:sz w:val="22"/>
          <w:szCs w:val="22"/>
        </w:rPr>
      </w:pPr>
    </w:p>
    <w:p w14:paraId="7DDD8AEB" w14:textId="40DD8B17" w:rsidR="006049A8" w:rsidRPr="00EE4007" w:rsidRDefault="006049A8" w:rsidP="006049A8">
      <w:pPr>
        <w:rPr>
          <w:rFonts w:ascii="Cambria" w:hAnsi="Cambria"/>
          <w:sz w:val="22"/>
          <w:szCs w:val="22"/>
          <w:lang w:val="en-US"/>
        </w:rPr>
      </w:pPr>
      <w:r w:rsidRPr="00EE4007">
        <w:rPr>
          <w:rFonts w:ascii="Cambria" w:hAnsi="Cambria"/>
          <w:sz w:val="22"/>
          <w:szCs w:val="22"/>
        </w:rPr>
        <w:t xml:space="preserve">La Cour de cassation énonce que </w:t>
      </w:r>
      <w:r w:rsidRPr="00EE4007">
        <w:rPr>
          <w:rFonts w:ascii="Cambria" w:hAnsi="Cambria"/>
          <w:b/>
          <w:bCs/>
          <w:sz w:val="22"/>
          <w:szCs w:val="22"/>
        </w:rPr>
        <w:t>s'il est certain que le langage syndical justifie la tolérance de certains excès à la mesure des tensions nées de conflits sociaux ou de la violence qui parfois sous-tend les relations du travail</w:t>
      </w:r>
      <w:r w:rsidRPr="00EE4007">
        <w:rPr>
          <w:rFonts w:ascii="Cambria" w:hAnsi="Cambria"/>
          <w:sz w:val="22"/>
          <w:szCs w:val="22"/>
        </w:rPr>
        <w:t xml:space="preserve">, il n'en reste pas moins que </w:t>
      </w:r>
      <w:r w:rsidRPr="00EE4007">
        <w:rPr>
          <w:rFonts w:ascii="Cambria" w:hAnsi="Cambria"/>
          <w:sz w:val="22"/>
          <w:szCs w:val="22"/>
          <w:u w:val="single"/>
        </w:rPr>
        <w:t>les propos tenus ne doivent pas excéder la mesure admissible ni présenter un caractère injurieux</w:t>
      </w:r>
      <w:r w:rsidRPr="00EE4007">
        <w:rPr>
          <w:rFonts w:ascii="Cambria" w:hAnsi="Cambria"/>
          <w:sz w:val="22"/>
          <w:szCs w:val="22"/>
        </w:rPr>
        <w:t xml:space="preserve">. </w:t>
      </w:r>
      <w:r w:rsidRPr="00EE4007">
        <w:rPr>
          <w:rFonts w:ascii="Cambria" w:hAnsi="Cambria"/>
          <w:sz w:val="22"/>
          <w:szCs w:val="22"/>
          <w:lang w:val="en-US"/>
        </w:rPr>
        <w:t xml:space="preserve">(Cass. crim., 10 </w:t>
      </w:r>
      <w:proofErr w:type="spellStart"/>
      <w:r w:rsidRPr="00EE4007">
        <w:rPr>
          <w:rFonts w:ascii="Cambria" w:hAnsi="Cambria"/>
          <w:sz w:val="22"/>
          <w:szCs w:val="22"/>
          <w:lang w:val="en-US"/>
        </w:rPr>
        <w:t>mai</w:t>
      </w:r>
      <w:proofErr w:type="spellEnd"/>
      <w:r w:rsidRPr="00EE4007">
        <w:rPr>
          <w:rFonts w:ascii="Cambria" w:hAnsi="Cambria"/>
          <w:sz w:val="22"/>
          <w:szCs w:val="22"/>
          <w:lang w:val="en-US"/>
        </w:rPr>
        <w:t xml:space="preserve"> 2005, n° 04-84.705, n° 2533 F - P + </w:t>
      </w:r>
      <w:proofErr w:type="gramStart"/>
      <w:r w:rsidRPr="00EE4007">
        <w:rPr>
          <w:rFonts w:ascii="Cambria" w:hAnsi="Cambria"/>
          <w:sz w:val="22"/>
          <w:szCs w:val="22"/>
          <w:lang w:val="en-US"/>
        </w:rPr>
        <w:t>F :</w:t>
      </w:r>
      <w:proofErr w:type="gramEnd"/>
      <w:r w:rsidRPr="00EE4007">
        <w:rPr>
          <w:rFonts w:ascii="Cambria" w:hAnsi="Cambria"/>
          <w:sz w:val="22"/>
          <w:szCs w:val="22"/>
          <w:lang w:val="en-US"/>
        </w:rPr>
        <w:t xml:space="preserve"> Bull. crim., n° 144) </w:t>
      </w:r>
    </w:p>
    <w:p w14:paraId="0E2DBA0A" w14:textId="77777777" w:rsidR="006049A8" w:rsidRPr="00EE4007" w:rsidRDefault="006049A8" w:rsidP="006049A8">
      <w:pPr>
        <w:rPr>
          <w:rFonts w:ascii="Cambria" w:hAnsi="Cambria"/>
          <w:sz w:val="22"/>
          <w:szCs w:val="22"/>
          <w:lang w:val="en-US"/>
        </w:rPr>
      </w:pPr>
    </w:p>
    <w:p w14:paraId="3727609E" w14:textId="77777777" w:rsidR="006049A8" w:rsidRPr="00EE4007" w:rsidRDefault="006049A8" w:rsidP="006049A8">
      <w:pPr>
        <w:rPr>
          <w:rFonts w:ascii="Cambria" w:hAnsi="Cambria"/>
          <w:sz w:val="22"/>
          <w:szCs w:val="22"/>
        </w:rPr>
      </w:pPr>
      <w:r w:rsidRPr="00EE4007">
        <w:rPr>
          <w:rFonts w:ascii="Cambria" w:hAnsi="Cambria"/>
          <w:sz w:val="22"/>
          <w:szCs w:val="22"/>
        </w:rPr>
        <w:t xml:space="preserve">L’abus de la liberté d’expression peut être considéré comme une injure. (Cass. </w:t>
      </w:r>
      <w:proofErr w:type="gramStart"/>
      <w:r w:rsidRPr="00EE4007">
        <w:rPr>
          <w:rFonts w:ascii="Cambria" w:hAnsi="Cambria"/>
          <w:sz w:val="22"/>
          <w:szCs w:val="22"/>
        </w:rPr>
        <w:t>soc</w:t>
      </w:r>
      <w:proofErr w:type="gramEnd"/>
      <w:r w:rsidRPr="00EE4007">
        <w:rPr>
          <w:rFonts w:ascii="Cambria" w:hAnsi="Cambria"/>
          <w:sz w:val="22"/>
          <w:szCs w:val="22"/>
        </w:rPr>
        <w:t>. 6 octobre 2016, n°15-19588)</w:t>
      </w:r>
    </w:p>
    <w:p w14:paraId="7CB261FD" w14:textId="77777777" w:rsidR="006049A8" w:rsidRPr="00EE4007" w:rsidRDefault="006049A8" w:rsidP="006049A8">
      <w:pPr>
        <w:rPr>
          <w:rFonts w:ascii="Cambria" w:hAnsi="Cambria"/>
          <w:sz w:val="22"/>
          <w:szCs w:val="22"/>
        </w:rPr>
      </w:pPr>
    </w:p>
    <w:p w14:paraId="626629E2" w14:textId="0B46CC74" w:rsidR="006049A8" w:rsidRPr="00EE4007" w:rsidRDefault="006049A8" w:rsidP="006049A8">
      <w:pPr>
        <w:jc w:val="center"/>
        <w:rPr>
          <w:rFonts w:ascii="Cambria" w:hAnsi="Cambria"/>
          <w:sz w:val="22"/>
          <w:szCs w:val="22"/>
          <w:u w:val="single"/>
        </w:rPr>
      </w:pPr>
      <w:r w:rsidRPr="00EE4007">
        <w:rPr>
          <w:rFonts w:ascii="Cambria" w:hAnsi="Cambria"/>
          <w:sz w:val="22"/>
          <w:szCs w:val="22"/>
          <w:u w:val="single"/>
        </w:rPr>
        <w:t>L’action en justice : diffamation et injure</w:t>
      </w:r>
    </w:p>
    <w:p w14:paraId="361E482C" w14:textId="77777777" w:rsidR="006049A8" w:rsidRPr="00EE4007" w:rsidRDefault="006049A8" w:rsidP="006049A8">
      <w:pPr>
        <w:jc w:val="center"/>
        <w:rPr>
          <w:rFonts w:ascii="Cambria" w:hAnsi="Cambria"/>
          <w:sz w:val="22"/>
          <w:szCs w:val="22"/>
          <w:u w:val="single"/>
        </w:rPr>
      </w:pPr>
    </w:p>
    <w:p w14:paraId="0461B06D" w14:textId="42C38525" w:rsidR="006049A8" w:rsidRPr="00EE4007" w:rsidRDefault="006049A8" w:rsidP="006049A8">
      <w:pPr>
        <w:rPr>
          <w:rFonts w:ascii="Cambria" w:hAnsi="Cambria"/>
          <w:sz w:val="22"/>
          <w:szCs w:val="22"/>
        </w:rPr>
      </w:pPr>
      <w:r w:rsidRPr="00EE4007">
        <w:rPr>
          <w:rFonts w:ascii="Cambria" w:hAnsi="Cambria"/>
          <w:sz w:val="22"/>
          <w:szCs w:val="22"/>
        </w:rPr>
        <w:t xml:space="preserve">Afin de fonder l’action, il est impératif de faire établir un constat d’huissier sur les circonstances qui entourent ces propos tenus. </w:t>
      </w:r>
    </w:p>
    <w:p w14:paraId="61D7A904" w14:textId="77777777" w:rsidR="006049A8" w:rsidRPr="00EE4007" w:rsidRDefault="006049A8" w:rsidP="006049A8">
      <w:pPr>
        <w:rPr>
          <w:rFonts w:ascii="Cambria" w:hAnsi="Cambria"/>
          <w:sz w:val="22"/>
          <w:szCs w:val="22"/>
        </w:rPr>
      </w:pPr>
    </w:p>
    <w:p w14:paraId="32B9F999" w14:textId="297BF0B8" w:rsidR="006049A8" w:rsidRPr="00EE4007" w:rsidRDefault="006049A8" w:rsidP="006049A8">
      <w:pPr>
        <w:rPr>
          <w:rFonts w:ascii="Cambria" w:hAnsi="Cambria"/>
          <w:sz w:val="22"/>
          <w:szCs w:val="22"/>
        </w:rPr>
      </w:pPr>
      <w:r w:rsidRPr="00EE4007">
        <w:rPr>
          <w:rFonts w:ascii="Cambria" w:hAnsi="Cambria"/>
          <w:sz w:val="22"/>
          <w:szCs w:val="22"/>
        </w:rPr>
        <w:t>A titre d’exemple : si cette injure ou diffamation est effectuée sur la page d’un groupe, il sera nécessaire de faire établir le nombre de membres, l’administrateur et la date et l’heure des propos.</w:t>
      </w:r>
    </w:p>
    <w:p w14:paraId="12CE9CC3" w14:textId="77777777" w:rsidR="006049A8" w:rsidRPr="00EE4007" w:rsidRDefault="006049A8" w:rsidP="006049A8">
      <w:pPr>
        <w:rPr>
          <w:rFonts w:ascii="Cambria" w:hAnsi="Cambria"/>
          <w:sz w:val="22"/>
          <w:szCs w:val="22"/>
        </w:rPr>
      </w:pPr>
    </w:p>
    <w:p w14:paraId="23A93EAC" w14:textId="1B60971F" w:rsidR="006049A8" w:rsidRPr="00EE4007" w:rsidRDefault="006049A8" w:rsidP="006049A8">
      <w:pPr>
        <w:rPr>
          <w:rFonts w:ascii="Cambria" w:hAnsi="Cambria"/>
          <w:sz w:val="22"/>
          <w:szCs w:val="22"/>
        </w:rPr>
      </w:pPr>
      <w:r w:rsidRPr="00EE4007">
        <w:rPr>
          <w:rFonts w:ascii="Cambria" w:hAnsi="Cambria"/>
          <w:sz w:val="22"/>
          <w:szCs w:val="22"/>
        </w:rPr>
        <w:t xml:space="preserve">A la suite de cela, une plainte pour diffamation ou injure pourra être déposée au commissariat de police après la commission des faits. </w:t>
      </w:r>
    </w:p>
    <w:p w14:paraId="63922F2A" w14:textId="77777777" w:rsidR="006049A8" w:rsidRPr="00EE4007" w:rsidRDefault="006049A8" w:rsidP="006049A8">
      <w:pPr>
        <w:rPr>
          <w:rFonts w:ascii="Cambria" w:hAnsi="Cambria"/>
          <w:sz w:val="22"/>
          <w:szCs w:val="22"/>
        </w:rPr>
      </w:pPr>
    </w:p>
    <w:p w14:paraId="2ED60907" w14:textId="66F5DACD" w:rsidR="006049A8" w:rsidRPr="00EE4007" w:rsidRDefault="006049A8" w:rsidP="006049A8">
      <w:pPr>
        <w:rPr>
          <w:rFonts w:ascii="Cambria" w:hAnsi="Cambria"/>
          <w:sz w:val="22"/>
          <w:szCs w:val="22"/>
        </w:rPr>
      </w:pPr>
      <w:r w:rsidRPr="00EE4007">
        <w:rPr>
          <w:rFonts w:ascii="Cambria" w:hAnsi="Cambria"/>
          <w:sz w:val="22"/>
          <w:szCs w:val="22"/>
        </w:rPr>
        <w:t>Le délai à l’expiration duquel une action judiciaire ne peut plus être exercée, est selon l’article 65 de la loi du 29 juillet 1881, de «</w:t>
      </w:r>
      <w:r w:rsidRPr="00EE4007">
        <w:rPr>
          <w:rFonts w:ascii="Cambria" w:hAnsi="Cambria"/>
          <w:b/>
          <w:bCs/>
          <w:i/>
          <w:iCs/>
          <w:sz w:val="22"/>
          <w:szCs w:val="22"/>
        </w:rPr>
        <w:t xml:space="preserve"> trois mois</w:t>
      </w:r>
      <w:r w:rsidRPr="00EE4007">
        <w:rPr>
          <w:rFonts w:ascii="Cambria" w:hAnsi="Cambria"/>
          <w:i/>
          <w:iCs/>
          <w:sz w:val="22"/>
          <w:szCs w:val="22"/>
        </w:rPr>
        <w:t xml:space="preserve"> </w:t>
      </w:r>
      <w:r w:rsidRPr="00EE4007">
        <w:rPr>
          <w:rFonts w:ascii="Cambria" w:hAnsi="Cambria"/>
          <w:b/>
          <w:bCs/>
          <w:i/>
          <w:iCs/>
          <w:sz w:val="22"/>
          <w:szCs w:val="22"/>
        </w:rPr>
        <w:t>révolus</w:t>
      </w:r>
      <w:r w:rsidRPr="00EE4007">
        <w:rPr>
          <w:rFonts w:ascii="Cambria" w:hAnsi="Cambria"/>
          <w:i/>
          <w:iCs/>
          <w:sz w:val="22"/>
          <w:szCs w:val="22"/>
        </w:rPr>
        <w:t xml:space="preserve">, </w:t>
      </w:r>
      <w:r w:rsidRPr="00EE4007">
        <w:rPr>
          <w:rFonts w:ascii="Cambria" w:hAnsi="Cambria"/>
          <w:b/>
          <w:bCs/>
          <w:i/>
          <w:iCs/>
          <w:sz w:val="22"/>
          <w:szCs w:val="22"/>
        </w:rPr>
        <w:t xml:space="preserve">à compter du jour où ils auront été commis </w:t>
      </w:r>
      <w:r w:rsidRPr="00EE4007">
        <w:rPr>
          <w:rFonts w:ascii="Cambria" w:hAnsi="Cambria"/>
          <w:i/>
          <w:iCs/>
          <w:sz w:val="22"/>
          <w:szCs w:val="22"/>
        </w:rPr>
        <w:t>ou du jour du dernier acte d’instruction ou de poursuite s’il en a été fait</w:t>
      </w:r>
      <w:r w:rsidRPr="00EE4007">
        <w:rPr>
          <w:rFonts w:ascii="Cambria" w:hAnsi="Cambria"/>
          <w:sz w:val="22"/>
          <w:szCs w:val="22"/>
        </w:rPr>
        <w:t xml:space="preserve"> ». (L. 29 juill. 1881, art. 65)</w:t>
      </w:r>
    </w:p>
    <w:p w14:paraId="00D7DBFE" w14:textId="77777777" w:rsidR="006049A8" w:rsidRPr="00EE4007" w:rsidRDefault="006049A8" w:rsidP="006049A8">
      <w:pPr>
        <w:rPr>
          <w:rFonts w:ascii="Cambria" w:hAnsi="Cambria"/>
          <w:i/>
          <w:iCs/>
          <w:sz w:val="22"/>
          <w:szCs w:val="22"/>
        </w:rPr>
      </w:pPr>
    </w:p>
    <w:p w14:paraId="64252264" w14:textId="77777777" w:rsidR="006049A8" w:rsidRPr="00EE4007" w:rsidRDefault="006049A8" w:rsidP="006049A8">
      <w:pPr>
        <w:rPr>
          <w:rFonts w:ascii="Cambria" w:hAnsi="Cambria"/>
          <w:sz w:val="22"/>
          <w:szCs w:val="22"/>
        </w:rPr>
      </w:pPr>
      <w:r w:rsidRPr="00EE4007">
        <w:rPr>
          <w:rFonts w:ascii="Cambria" w:hAnsi="Cambria"/>
          <w:sz w:val="22"/>
          <w:szCs w:val="22"/>
        </w:rPr>
        <w:t>L’action sera intentée devant le tribunal judiciaire.</w:t>
      </w:r>
    </w:p>
    <w:p w14:paraId="7FA52FCA" w14:textId="77777777" w:rsidR="006049A8" w:rsidRPr="00EE4007" w:rsidRDefault="006049A8" w:rsidP="006049A8">
      <w:pPr>
        <w:rPr>
          <w:rFonts w:ascii="Cambria" w:hAnsi="Cambria"/>
          <w:sz w:val="22"/>
          <w:szCs w:val="22"/>
        </w:rPr>
      </w:pPr>
      <w:r w:rsidRPr="00EE4007">
        <w:rPr>
          <w:rFonts w:ascii="Cambria" w:hAnsi="Cambria"/>
          <w:sz w:val="22"/>
          <w:szCs w:val="22"/>
        </w:rPr>
        <w:t xml:space="preserve">La victime d’injure ou de diffamation pourra solliciter un préjudice moral et le remboursement de ses frais de justice. </w:t>
      </w:r>
    </w:p>
    <w:p w14:paraId="7F2753F0" w14:textId="6283FA7B" w:rsidR="006049A8" w:rsidRDefault="006049A8" w:rsidP="006049A8">
      <w:pPr>
        <w:rPr>
          <w:rFonts w:ascii="Cambria" w:hAnsi="Cambria"/>
          <w:sz w:val="22"/>
          <w:szCs w:val="22"/>
        </w:rPr>
      </w:pPr>
    </w:p>
    <w:p w14:paraId="7C2D3A70" w14:textId="6E27E142" w:rsidR="00EE4007" w:rsidRDefault="00EE4007" w:rsidP="006049A8">
      <w:pPr>
        <w:rPr>
          <w:rFonts w:ascii="Cambria" w:hAnsi="Cambria"/>
          <w:sz w:val="22"/>
          <w:szCs w:val="22"/>
        </w:rPr>
      </w:pPr>
    </w:p>
    <w:p w14:paraId="0AF98383" w14:textId="2136E6AC" w:rsidR="00EE4007" w:rsidRDefault="00EE4007" w:rsidP="006049A8">
      <w:pPr>
        <w:rPr>
          <w:rFonts w:ascii="Cambria" w:hAnsi="Cambria"/>
          <w:sz w:val="22"/>
          <w:szCs w:val="22"/>
        </w:rPr>
      </w:pPr>
    </w:p>
    <w:p w14:paraId="523C2329" w14:textId="681DAB17" w:rsidR="00EE4007" w:rsidRDefault="00EE4007" w:rsidP="006049A8">
      <w:pPr>
        <w:rPr>
          <w:rFonts w:ascii="Cambria" w:hAnsi="Cambria"/>
          <w:sz w:val="22"/>
          <w:szCs w:val="22"/>
        </w:rPr>
      </w:pPr>
    </w:p>
    <w:p w14:paraId="55399155" w14:textId="1C894D03" w:rsidR="00EE4007" w:rsidRDefault="00EE4007" w:rsidP="006049A8">
      <w:pPr>
        <w:rPr>
          <w:rFonts w:ascii="Cambria" w:hAnsi="Cambria"/>
          <w:sz w:val="22"/>
          <w:szCs w:val="22"/>
        </w:rPr>
      </w:pPr>
    </w:p>
    <w:p w14:paraId="5A5C2B7A" w14:textId="1CFCDACA" w:rsidR="00EE4007" w:rsidRDefault="00EE4007" w:rsidP="006049A8">
      <w:pPr>
        <w:rPr>
          <w:rFonts w:ascii="Cambria" w:hAnsi="Cambria"/>
          <w:sz w:val="22"/>
          <w:szCs w:val="22"/>
        </w:rPr>
      </w:pPr>
    </w:p>
    <w:p w14:paraId="2B622757" w14:textId="6F8BF1AB" w:rsidR="00EE4007" w:rsidRDefault="00EE4007" w:rsidP="006049A8">
      <w:pPr>
        <w:rPr>
          <w:rFonts w:ascii="Cambria" w:hAnsi="Cambria"/>
          <w:sz w:val="22"/>
          <w:szCs w:val="22"/>
        </w:rPr>
      </w:pPr>
    </w:p>
    <w:p w14:paraId="66C32EBF" w14:textId="68E53884" w:rsidR="00EE4007" w:rsidRDefault="00EE4007" w:rsidP="006049A8">
      <w:pPr>
        <w:rPr>
          <w:rFonts w:ascii="Cambria" w:hAnsi="Cambria"/>
          <w:sz w:val="22"/>
          <w:szCs w:val="22"/>
        </w:rPr>
      </w:pPr>
    </w:p>
    <w:p w14:paraId="3CB605B5" w14:textId="2E05BDDB" w:rsidR="00EE4007" w:rsidRDefault="00EE4007" w:rsidP="006049A8">
      <w:pPr>
        <w:rPr>
          <w:rFonts w:ascii="Cambria" w:hAnsi="Cambria"/>
          <w:sz w:val="22"/>
          <w:szCs w:val="22"/>
        </w:rPr>
      </w:pPr>
    </w:p>
    <w:p w14:paraId="2D5150E1" w14:textId="77777777" w:rsidR="00EE4007" w:rsidRPr="00EE4007" w:rsidRDefault="00EE4007" w:rsidP="006049A8">
      <w:pPr>
        <w:rPr>
          <w:rFonts w:ascii="Cambria" w:hAnsi="Cambria"/>
          <w:sz w:val="22"/>
          <w:szCs w:val="22"/>
        </w:rPr>
      </w:pPr>
    </w:p>
    <w:p w14:paraId="22CC0C42" w14:textId="7A285338" w:rsidR="006049A8" w:rsidRPr="00EE4007" w:rsidRDefault="006049A8" w:rsidP="006049A8">
      <w:pPr>
        <w:jc w:val="center"/>
        <w:rPr>
          <w:rFonts w:ascii="Cambria" w:hAnsi="Cambria"/>
          <w:sz w:val="22"/>
          <w:szCs w:val="22"/>
          <w:u w:val="single"/>
        </w:rPr>
      </w:pPr>
      <w:r w:rsidRPr="00EE4007">
        <w:rPr>
          <w:rFonts w:ascii="Cambria" w:hAnsi="Cambria"/>
          <w:sz w:val="22"/>
          <w:szCs w:val="22"/>
          <w:u w:val="single"/>
        </w:rPr>
        <w:t>Les faits justificatifs écartant la condamnation pénale</w:t>
      </w:r>
    </w:p>
    <w:p w14:paraId="780D79EF" w14:textId="77777777" w:rsidR="006049A8" w:rsidRPr="00EE4007" w:rsidRDefault="006049A8" w:rsidP="006049A8">
      <w:pPr>
        <w:jc w:val="center"/>
        <w:rPr>
          <w:rFonts w:ascii="Cambria" w:hAnsi="Cambria"/>
          <w:sz w:val="22"/>
          <w:szCs w:val="22"/>
          <w:u w:val="single"/>
        </w:rPr>
      </w:pPr>
    </w:p>
    <w:p w14:paraId="08FF1360" w14:textId="380BC9EC" w:rsidR="006049A8" w:rsidRPr="00EE4007" w:rsidRDefault="006049A8" w:rsidP="006049A8">
      <w:pPr>
        <w:rPr>
          <w:rFonts w:ascii="Cambria" w:hAnsi="Cambria"/>
          <w:sz w:val="22"/>
          <w:szCs w:val="22"/>
        </w:rPr>
      </w:pPr>
      <w:r w:rsidRPr="00EE4007">
        <w:rPr>
          <w:rFonts w:ascii="Cambria" w:hAnsi="Cambria"/>
          <w:sz w:val="22"/>
          <w:szCs w:val="22"/>
        </w:rPr>
        <w:t xml:space="preserve">La personne accusée de diffamation ou d’injure, peut échapper à la condamnation pénale si elle démontre sa bonne foi et la véracité des faits allégués. (Cass. </w:t>
      </w:r>
      <w:proofErr w:type="spellStart"/>
      <w:r w:rsidRPr="00EE4007">
        <w:rPr>
          <w:rFonts w:ascii="Cambria" w:hAnsi="Cambria"/>
          <w:sz w:val="22"/>
          <w:szCs w:val="22"/>
        </w:rPr>
        <w:t>Crim</w:t>
      </w:r>
      <w:proofErr w:type="spellEnd"/>
      <w:r w:rsidRPr="00EE4007">
        <w:rPr>
          <w:rFonts w:ascii="Cambria" w:hAnsi="Cambria"/>
          <w:sz w:val="22"/>
          <w:szCs w:val="22"/>
        </w:rPr>
        <w:t xml:space="preserve">, 17 novembre 2015 n° 14-81.410 ; Cass. </w:t>
      </w:r>
      <w:proofErr w:type="spellStart"/>
      <w:r w:rsidRPr="00EE4007">
        <w:rPr>
          <w:rFonts w:ascii="Cambria" w:hAnsi="Cambria"/>
          <w:sz w:val="22"/>
          <w:szCs w:val="22"/>
        </w:rPr>
        <w:t>Crim</w:t>
      </w:r>
      <w:proofErr w:type="spellEnd"/>
      <w:r w:rsidRPr="00EE4007">
        <w:rPr>
          <w:rFonts w:ascii="Cambria" w:hAnsi="Cambria"/>
          <w:sz w:val="22"/>
          <w:szCs w:val="22"/>
        </w:rPr>
        <w:t>, 8 avril 2008 n° 07- 82972)</w:t>
      </w:r>
    </w:p>
    <w:p w14:paraId="374E4591" w14:textId="77777777" w:rsidR="006049A8" w:rsidRPr="00EE4007" w:rsidRDefault="006049A8" w:rsidP="006049A8">
      <w:pPr>
        <w:rPr>
          <w:rFonts w:ascii="Cambria" w:hAnsi="Cambria"/>
          <w:sz w:val="22"/>
          <w:szCs w:val="22"/>
        </w:rPr>
      </w:pPr>
    </w:p>
    <w:p w14:paraId="3C9703B8" w14:textId="77777777" w:rsidR="006049A8" w:rsidRPr="00EE4007" w:rsidRDefault="006049A8" w:rsidP="006049A8">
      <w:pPr>
        <w:rPr>
          <w:rFonts w:ascii="Cambria" w:hAnsi="Cambria"/>
          <w:sz w:val="22"/>
          <w:szCs w:val="22"/>
        </w:rPr>
      </w:pPr>
      <w:r w:rsidRPr="00EE4007">
        <w:rPr>
          <w:rFonts w:ascii="Cambria" w:hAnsi="Cambria"/>
          <w:sz w:val="22"/>
          <w:szCs w:val="22"/>
        </w:rPr>
        <w:t>La bonne foi est constatée lorsque 4 critères sont réunis :</w:t>
      </w:r>
    </w:p>
    <w:p w14:paraId="08768C61" w14:textId="77777777" w:rsidR="006049A8" w:rsidRPr="00EE4007" w:rsidRDefault="006049A8" w:rsidP="006049A8">
      <w:pPr>
        <w:pStyle w:val="Paragraphedeliste"/>
        <w:numPr>
          <w:ilvl w:val="0"/>
          <w:numId w:val="1"/>
        </w:numPr>
      </w:pPr>
      <w:proofErr w:type="gramStart"/>
      <w:r w:rsidRPr="00EE4007">
        <w:t>l’absence</w:t>
      </w:r>
      <w:proofErr w:type="gramEnd"/>
      <w:r w:rsidRPr="00EE4007">
        <w:t xml:space="preserve"> d’animosité personnelle,</w:t>
      </w:r>
    </w:p>
    <w:p w14:paraId="46F4133F" w14:textId="77777777" w:rsidR="006049A8" w:rsidRPr="00EE4007" w:rsidRDefault="006049A8" w:rsidP="006049A8">
      <w:pPr>
        <w:pStyle w:val="Paragraphedeliste"/>
        <w:numPr>
          <w:ilvl w:val="0"/>
          <w:numId w:val="1"/>
        </w:numPr>
      </w:pPr>
      <w:proofErr w:type="gramStart"/>
      <w:r w:rsidRPr="00EE4007">
        <w:t>la</w:t>
      </w:r>
      <w:proofErr w:type="gramEnd"/>
      <w:r w:rsidRPr="00EE4007">
        <w:t xml:space="preserve"> présence d’un but légitime,</w:t>
      </w:r>
    </w:p>
    <w:p w14:paraId="1C931F98" w14:textId="77777777" w:rsidR="006049A8" w:rsidRPr="00EE4007" w:rsidRDefault="006049A8" w:rsidP="006049A8">
      <w:pPr>
        <w:pStyle w:val="Paragraphedeliste"/>
        <w:numPr>
          <w:ilvl w:val="0"/>
          <w:numId w:val="1"/>
        </w:numPr>
      </w:pPr>
      <w:proofErr w:type="gramStart"/>
      <w:r w:rsidRPr="00EE4007">
        <w:t>la</w:t>
      </w:r>
      <w:proofErr w:type="gramEnd"/>
      <w:r w:rsidRPr="00EE4007">
        <w:t xml:space="preserve"> prudence et la mesure dans l’expression, sans exagération dans le propos</w:t>
      </w:r>
    </w:p>
    <w:p w14:paraId="532FDD8A" w14:textId="77777777" w:rsidR="006049A8" w:rsidRPr="00EE4007" w:rsidRDefault="006049A8" w:rsidP="006049A8">
      <w:pPr>
        <w:pStyle w:val="Paragraphedeliste"/>
        <w:numPr>
          <w:ilvl w:val="0"/>
          <w:numId w:val="1"/>
        </w:numPr>
      </w:pPr>
      <w:proofErr w:type="gramStart"/>
      <w:r w:rsidRPr="00EE4007">
        <w:t>la</w:t>
      </w:r>
      <w:proofErr w:type="gramEnd"/>
      <w:r w:rsidRPr="00EE4007">
        <w:t xml:space="preserve"> vérification sérieuse de la réalité des faits.</w:t>
      </w:r>
    </w:p>
    <w:p w14:paraId="6E52D05F" w14:textId="50CF958E" w:rsidR="006049A8" w:rsidRPr="00EE4007" w:rsidRDefault="006049A8" w:rsidP="006049A8">
      <w:pPr>
        <w:rPr>
          <w:rFonts w:ascii="Cambria" w:hAnsi="Cambria"/>
          <w:sz w:val="22"/>
          <w:szCs w:val="22"/>
        </w:rPr>
      </w:pPr>
      <w:r w:rsidRPr="00EE4007">
        <w:rPr>
          <w:rFonts w:ascii="Cambria" w:hAnsi="Cambria"/>
          <w:sz w:val="22"/>
          <w:szCs w:val="22"/>
        </w:rPr>
        <w:t xml:space="preserve">De plus, la bonne foi peut être établie en rapportant la preuve que le prévenu disposait d’éléments suffisants pour s’exprimer au moment où il l’a fait. (Cass. </w:t>
      </w:r>
      <w:proofErr w:type="spellStart"/>
      <w:r w:rsidRPr="00EE4007">
        <w:rPr>
          <w:rFonts w:ascii="Cambria" w:hAnsi="Cambria"/>
          <w:sz w:val="22"/>
          <w:szCs w:val="22"/>
        </w:rPr>
        <w:t>Crim</w:t>
      </w:r>
      <w:proofErr w:type="spellEnd"/>
      <w:r w:rsidRPr="00EE4007">
        <w:rPr>
          <w:rFonts w:ascii="Cambria" w:hAnsi="Cambria"/>
          <w:sz w:val="22"/>
          <w:szCs w:val="22"/>
        </w:rPr>
        <w:t xml:space="preserve"> 7 mai 2018 n° 17-82663)</w:t>
      </w:r>
    </w:p>
    <w:p w14:paraId="46A9462C" w14:textId="77777777" w:rsidR="006049A8" w:rsidRPr="00EE4007" w:rsidRDefault="006049A8" w:rsidP="006049A8">
      <w:pPr>
        <w:rPr>
          <w:rFonts w:ascii="Cambria" w:hAnsi="Cambria"/>
          <w:i/>
          <w:iCs/>
          <w:sz w:val="22"/>
          <w:szCs w:val="22"/>
        </w:rPr>
      </w:pPr>
    </w:p>
    <w:p w14:paraId="7A10B329" w14:textId="77777777" w:rsidR="006049A8" w:rsidRPr="00EE4007" w:rsidRDefault="006049A8" w:rsidP="006049A8">
      <w:pPr>
        <w:rPr>
          <w:rFonts w:ascii="Cambria" w:hAnsi="Cambria"/>
          <w:sz w:val="22"/>
          <w:szCs w:val="22"/>
        </w:rPr>
      </w:pPr>
      <w:r w:rsidRPr="00EE4007">
        <w:rPr>
          <w:rFonts w:ascii="Cambria" w:hAnsi="Cambria"/>
          <w:sz w:val="22"/>
          <w:szCs w:val="22"/>
        </w:rPr>
        <w:t xml:space="preserve">Les juges peuvent de surcroît tenir compte, du caractère d’intérêt général du sujet sur lequel portent les propos litigieux et du contexte politique dans lequel ils s’inscrivent. (Cass. </w:t>
      </w:r>
      <w:proofErr w:type="spellStart"/>
      <w:r w:rsidRPr="00EE4007">
        <w:rPr>
          <w:rFonts w:ascii="Cambria" w:hAnsi="Cambria"/>
          <w:sz w:val="22"/>
          <w:szCs w:val="22"/>
        </w:rPr>
        <w:t>Crim</w:t>
      </w:r>
      <w:proofErr w:type="spellEnd"/>
      <w:r w:rsidRPr="00EE4007">
        <w:rPr>
          <w:rFonts w:ascii="Cambria" w:hAnsi="Cambria"/>
          <w:sz w:val="22"/>
          <w:szCs w:val="22"/>
        </w:rPr>
        <w:t xml:space="preserve"> 19 janvier 2010 n°09-84.408)</w:t>
      </w:r>
    </w:p>
    <w:p w14:paraId="6DB62666" w14:textId="77777777" w:rsidR="006049A8" w:rsidRPr="00EE4007" w:rsidRDefault="006049A8" w:rsidP="006049A8">
      <w:pPr>
        <w:rPr>
          <w:rFonts w:ascii="Cambria" w:hAnsi="Cambria"/>
          <w:sz w:val="22"/>
          <w:szCs w:val="22"/>
        </w:rPr>
      </w:pPr>
    </w:p>
    <w:p w14:paraId="31EA7C4E" w14:textId="77777777" w:rsidR="00227018" w:rsidRPr="00EE4007" w:rsidRDefault="00227018" w:rsidP="00B03B43">
      <w:pPr>
        <w:ind w:right="-1417"/>
        <w:rPr>
          <w:rFonts w:ascii="Cambria" w:hAnsi="Cambria"/>
          <w:sz w:val="22"/>
          <w:szCs w:val="22"/>
        </w:rPr>
      </w:pPr>
    </w:p>
    <w:p w14:paraId="69CDB1C5" w14:textId="77777777" w:rsidR="00227018" w:rsidRPr="00EE4007" w:rsidRDefault="00227018" w:rsidP="00B03B43">
      <w:pPr>
        <w:ind w:right="-1417"/>
        <w:rPr>
          <w:rFonts w:ascii="Cambria" w:hAnsi="Cambria"/>
          <w:sz w:val="22"/>
          <w:szCs w:val="22"/>
        </w:rPr>
      </w:pPr>
    </w:p>
    <w:p w14:paraId="41603C99" w14:textId="77777777" w:rsidR="00227018" w:rsidRPr="00EE4007" w:rsidRDefault="00227018" w:rsidP="00B03B43">
      <w:pPr>
        <w:ind w:right="-1417"/>
        <w:rPr>
          <w:rFonts w:ascii="Cambria" w:hAnsi="Cambria"/>
          <w:sz w:val="22"/>
          <w:szCs w:val="22"/>
        </w:rPr>
      </w:pPr>
    </w:p>
    <w:p w14:paraId="6D337460" w14:textId="77777777" w:rsidR="00227018" w:rsidRPr="00EE4007" w:rsidRDefault="00227018" w:rsidP="00B03B43">
      <w:pPr>
        <w:ind w:right="-1417"/>
        <w:rPr>
          <w:rFonts w:ascii="Cambria" w:hAnsi="Cambria"/>
          <w:sz w:val="22"/>
          <w:szCs w:val="22"/>
        </w:rPr>
      </w:pPr>
    </w:p>
    <w:p w14:paraId="4968CB54" w14:textId="77777777" w:rsidR="00227018" w:rsidRPr="00EE4007" w:rsidRDefault="00227018" w:rsidP="00B03B43">
      <w:pPr>
        <w:ind w:right="-1417"/>
        <w:rPr>
          <w:rFonts w:ascii="Cambria" w:hAnsi="Cambria"/>
          <w:sz w:val="22"/>
          <w:szCs w:val="22"/>
        </w:rPr>
      </w:pPr>
    </w:p>
    <w:p w14:paraId="2ECE36DD" w14:textId="77777777" w:rsidR="00227018" w:rsidRPr="00EE4007" w:rsidRDefault="00227018" w:rsidP="00B03B43">
      <w:pPr>
        <w:ind w:right="-1417"/>
        <w:rPr>
          <w:rFonts w:ascii="Cambria" w:hAnsi="Cambria"/>
          <w:sz w:val="22"/>
          <w:szCs w:val="22"/>
        </w:rPr>
      </w:pPr>
    </w:p>
    <w:sectPr w:rsidR="00227018" w:rsidRPr="00EE4007" w:rsidSect="00B03B43">
      <w:headerReference w:type="even" r:id="rId7"/>
      <w:headerReference w:type="default" r:id="rId8"/>
      <w:footerReference w:type="even" r:id="rId9"/>
      <w:footerReference w:type="default" r:id="rId10"/>
      <w:headerReference w:type="first" r:id="rId11"/>
      <w:footerReference w:type="first" r:id="rId12"/>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1F95" w14:textId="77777777" w:rsidR="00C400E2" w:rsidRDefault="00C400E2" w:rsidP="00F90685">
      <w:r>
        <w:separator/>
      </w:r>
    </w:p>
  </w:endnote>
  <w:endnote w:type="continuationSeparator" w:id="0">
    <w:p w14:paraId="62614D94" w14:textId="77777777" w:rsidR="00C400E2" w:rsidRDefault="00C400E2" w:rsidP="00F9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1CDF" w14:textId="77777777" w:rsidR="00C24BB4" w:rsidRDefault="00C24B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CA96" w14:textId="7D005DA4" w:rsidR="00F90685" w:rsidRDefault="001C6AA1">
    <w:pPr>
      <w:pStyle w:val="Pieddepage"/>
    </w:pPr>
    <w:r>
      <w:rPr>
        <w:noProof/>
      </w:rPr>
      <w:drawing>
        <wp:anchor distT="0" distB="0" distL="114300" distR="114300" simplePos="0" relativeHeight="251664384" behindDoc="0" locked="0" layoutInCell="1" allowOverlap="1" wp14:anchorId="1215530B" wp14:editId="6F55955F">
          <wp:simplePos x="0" y="0"/>
          <wp:positionH relativeFrom="page">
            <wp:align>left</wp:align>
          </wp:positionH>
          <wp:positionV relativeFrom="paragraph">
            <wp:posOffset>-437515</wp:posOffset>
          </wp:positionV>
          <wp:extent cx="7556500" cy="1053465"/>
          <wp:effectExtent l="0" t="0" r="6350" b="0"/>
          <wp:wrapNone/>
          <wp:docPr id="15952055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05522" name="Image 1595205522"/>
                  <pic:cNvPicPr/>
                </pic:nvPicPr>
                <pic:blipFill>
                  <a:blip r:embed="rId1">
                    <a:extLst>
                      <a:ext uri="{28A0092B-C50C-407E-A947-70E740481C1C}">
                        <a14:useLocalDpi xmlns:a14="http://schemas.microsoft.com/office/drawing/2010/main" val="0"/>
                      </a:ext>
                    </a:extLst>
                  </a:blip>
                  <a:stretch>
                    <a:fillRect/>
                  </a:stretch>
                </pic:blipFill>
                <pic:spPr>
                  <a:xfrm>
                    <a:off x="0" y="0"/>
                    <a:ext cx="7556500" cy="10534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E85C" w14:textId="77777777" w:rsidR="00C24BB4" w:rsidRDefault="00C24B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36FA" w14:textId="77777777" w:rsidR="00C400E2" w:rsidRDefault="00C400E2" w:rsidP="00F90685">
      <w:r>
        <w:separator/>
      </w:r>
    </w:p>
  </w:footnote>
  <w:footnote w:type="continuationSeparator" w:id="0">
    <w:p w14:paraId="3E3D2837" w14:textId="77777777" w:rsidR="00C400E2" w:rsidRDefault="00C400E2" w:rsidP="00F9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B76" w14:textId="77777777" w:rsidR="00F90685" w:rsidRDefault="00000000">
    <w:pPr>
      <w:pStyle w:val="En-tte"/>
    </w:pPr>
    <w:r>
      <w:rPr>
        <w:noProof/>
      </w:rPr>
      <w:pict w14:anchorId="50E8F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53137" o:spid="_x0000_s1027" type="#_x0000_t75" alt="" style="position:absolute;margin-left:0;margin-top:0;width:593.95pt;height:840.15pt;z-index:-251653120;mso-wrap-edited:f;mso-width-percent:0;mso-height-percent:0;mso-position-horizontal:center;mso-position-horizontal-relative:margin;mso-position-vertical:center;mso-position-vertical-relative:margin;mso-width-percent:0;mso-height-percent:0" o:allowincell="f">
          <v:imagedata r:id="rId1" o:title="Tête de lettre-FO-FG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8EF" w14:textId="13FA815B" w:rsidR="001C6AA1" w:rsidRDefault="001C6AA1">
    <w:pPr>
      <w:pStyle w:val="En-tte"/>
    </w:pPr>
    <w:r>
      <w:rPr>
        <w:noProof/>
      </w:rPr>
      <w:drawing>
        <wp:anchor distT="0" distB="0" distL="114300" distR="114300" simplePos="0" relativeHeight="251665408" behindDoc="0" locked="0" layoutInCell="1" allowOverlap="1" wp14:anchorId="0C4140BA" wp14:editId="05BCF7B6">
          <wp:simplePos x="0" y="0"/>
          <wp:positionH relativeFrom="margin">
            <wp:posOffset>-334010</wp:posOffset>
          </wp:positionH>
          <wp:positionV relativeFrom="paragraph">
            <wp:posOffset>-68580</wp:posOffset>
          </wp:positionV>
          <wp:extent cx="1357749" cy="1581150"/>
          <wp:effectExtent l="0" t="0" r="0" b="0"/>
          <wp:wrapNone/>
          <wp:docPr id="490149658" name="Image 2"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49658" name="Image 2" descr="Une image contenant texte, Graphiqu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57749" cy="1581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4D4F" w14:textId="77777777" w:rsidR="00F90685" w:rsidRDefault="00000000">
    <w:pPr>
      <w:pStyle w:val="En-tte"/>
    </w:pPr>
    <w:r>
      <w:rPr>
        <w:noProof/>
      </w:rPr>
      <w:pict w14:anchorId="56401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53136" o:spid="_x0000_s1025" type="#_x0000_t75" alt="" style="position:absolute;margin-left:0;margin-top:0;width:593.95pt;height:840.15pt;z-index:-251656192;mso-wrap-edited:f;mso-width-percent:0;mso-height-percent:0;mso-position-horizontal:center;mso-position-horizontal-relative:margin;mso-position-vertical:center;mso-position-vertical-relative:margin;mso-width-percent:0;mso-height-percent:0" o:allowincell="f">
          <v:imagedata r:id="rId1" o:title="Tête de lettre-FO-FG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17649"/>
    <w:multiLevelType w:val="hybridMultilevel"/>
    <w:tmpl w:val="53463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611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85"/>
    <w:rsid w:val="001C6AA1"/>
    <w:rsid w:val="00227018"/>
    <w:rsid w:val="006049A8"/>
    <w:rsid w:val="006E25E4"/>
    <w:rsid w:val="00752A22"/>
    <w:rsid w:val="00A37FE1"/>
    <w:rsid w:val="00B03B43"/>
    <w:rsid w:val="00C24BB4"/>
    <w:rsid w:val="00C400E2"/>
    <w:rsid w:val="00D97F2F"/>
    <w:rsid w:val="00E407DA"/>
    <w:rsid w:val="00EE4007"/>
    <w:rsid w:val="00F90685"/>
    <w:rsid w:val="00FF7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C6B4"/>
  <w15:chartTrackingRefBased/>
  <w15:docId w15:val="{83BAE368-90E5-9C49-89AD-FAB48B9A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0685"/>
    <w:pPr>
      <w:tabs>
        <w:tab w:val="center" w:pos="4536"/>
        <w:tab w:val="right" w:pos="9072"/>
      </w:tabs>
    </w:pPr>
  </w:style>
  <w:style w:type="character" w:customStyle="1" w:styleId="En-tteCar">
    <w:name w:val="En-tête Car"/>
    <w:basedOn w:val="Policepardfaut"/>
    <w:link w:val="En-tte"/>
    <w:uiPriority w:val="99"/>
    <w:rsid w:val="00F90685"/>
  </w:style>
  <w:style w:type="paragraph" w:styleId="Pieddepage">
    <w:name w:val="footer"/>
    <w:basedOn w:val="Normal"/>
    <w:link w:val="PieddepageCar"/>
    <w:uiPriority w:val="99"/>
    <w:unhideWhenUsed/>
    <w:rsid w:val="00F90685"/>
    <w:pPr>
      <w:tabs>
        <w:tab w:val="center" w:pos="4536"/>
        <w:tab w:val="right" w:pos="9072"/>
      </w:tabs>
    </w:pPr>
  </w:style>
  <w:style w:type="character" w:customStyle="1" w:styleId="PieddepageCar">
    <w:name w:val="Pied de page Car"/>
    <w:basedOn w:val="Policepardfaut"/>
    <w:link w:val="Pieddepage"/>
    <w:uiPriority w:val="99"/>
    <w:rsid w:val="00F90685"/>
  </w:style>
  <w:style w:type="paragraph" w:styleId="Paragraphedeliste">
    <w:name w:val="List Paragraph"/>
    <w:basedOn w:val="Normal"/>
    <w:uiPriority w:val="34"/>
    <w:qFormat/>
    <w:rsid w:val="006049A8"/>
    <w:pPr>
      <w:spacing w:after="160" w:line="259" w:lineRule="auto"/>
      <w:ind w:left="720"/>
      <w:contextualSpacing/>
      <w:jc w:val="both"/>
    </w:pPr>
    <w:rPr>
      <w:rFonts w:ascii="Cambria" w:hAnsi="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864</Words>
  <Characters>4754</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Mouton</dc:creator>
  <cp:keywords/>
  <dc:description/>
  <cp:lastModifiedBy>Flora Roosens</cp:lastModifiedBy>
  <cp:revision>9</cp:revision>
  <dcterms:created xsi:type="dcterms:W3CDTF">2023-07-03T13:46:00Z</dcterms:created>
  <dcterms:modified xsi:type="dcterms:W3CDTF">2023-11-20T10:23:00Z</dcterms:modified>
</cp:coreProperties>
</file>